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C4243" w14:textId="77777777" w:rsidR="00F36899" w:rsidRDefault="0059236C" w:rsidP="00F36899">
      <w:pPr>
        <w:pStyle w:val="Heading1"/>
        <w:spacing w:before="0" w:line="240" w:lineRule="auto"/>
        <w:jc w:val="center"/>
        <w:rPr>
          <w:b/>
          <w:bCs/>
          <w:sz w:val="56"/>
          <w:szCs w:val="56"/>
        </w:rPr>
      </w:pPr>
      <w:r w:rsidRPr="00002F54">
        <w:rPr>
          <w:b/>
          <w:bCs/>
          <w:sz w:val="56"/>
          <w:szCs w:val="56"/>
        </w:rPr>
        <w:t xml:space="preserve">GM Cancer Board – </w:t>
      </w:r>
    </w:p>
    <w:p w14:paraId="464F71C6" w14:textId="4FE4EA60" w:rsidR="0059236C" w:rsidRPr="00002F54" w:rsidRDefault="00362AB0" w:rsidP="00F36899">
      <w:pPr>
        <w:pStyle w:val="Heading1"/>
        <w:spacing w:before="0" w:line="240" w:lineRule="auto"/>
        <w:jc w:val="center"/>
        <w:rPr>
          <w:b/>
          <w:bCs/>
          <w:sz w:val="56"/>
          <w:szCs w:val="56"/>
        </w:rPr>
      </w:pPr>
      <w:r>
        <w:rPr>
          <w:b/>
          <w:bCs/>
          <w:sz w:val="56"/>
          <w:szCs w:val="56"/>
        </w:rPr>
        <w:t>19 May 2025</w:t>
      </w:r>
    </w:p>
    <w:p w14:paraId="70CC837B" w14:textId="77777777" w:rsidR="0059236C" w:rsidRPr="00002F54" w:rsidRDefault="0059236C" w:rsidP="0059236C">
      <w:pPr>
        <w:pStyle w:val="Heading3"/>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F5664"/>
        <w:tblLook w:val="04A0" w:firstRow="1" w:lastRow="0" w:firstColumn="1" w:lastColumn="0" w:noHBand="0" w:noVBand="1"/>
      </w:tblPr>
      <w:tblGrid>
        <w:gridCol w:w="1792"/>
        <w:gridCol w:w="8170"/>
      </w:tblGrid>
      <w:tr w:rsidR="0059236C" w:rsidRPr="00002F54" w14:paraId="4DE978E8" w14:textId="77777777" w:rsidTr="00A821DF">
        <w:trPr>
          <w:trHeight w:val="431"/>
          <w:jc w:val="center"/>
        </w:trPr>
        <w:tc>
          <w:tcPr>
            <w:tcW w:w="1792" w:type="dxa"/>
            <w:shd w:val="clear" w:color="auto" w:fill="FFFFFF"/>
          </w:tcPr>
          <w:p w14:paraId="70DCFB9E" w14:textId="77777777" w:rsidR="0059236C" w:rsidRPr="00002F54" w:rsidRDefault="0059236C" w:rsidP="0059236C">
            <w:pPr>
              <w:spacing w:after="0" w:line="240" w:lineRule="auto"/>
              <w:contextualSpacing/>
              <w:rPr>
                <w:rFonts w:cs="Arial"/>
                <w:b/>
                <w:sz w:val="24"/>
                <w:szCs w:val="24"/>
              </w:rPr>
            </w:pPr>
            <w:r w:rsidRPr="00002F54">
              <w:rPr>
                <w:rFonts w:cs="Arial"/>
                <w:b/>
                <w:sz w:val="24"/>
                <w:szCs w:val="24"/>
              </w:rPr>
              <w:t>Title of paper:</w:t>
            </w:r>
          </w:p>
        </w:tc>
        <w:tc>
          <w:tcPr>
            <w:tcW w:w="8170" w:type="dxa"/>
            <w:shd w:val="clear" w:color="auto" w:fill="FFFFFF"/>
          </w:tcPr>
          <w:p w14:paraId="68ADD901" w14:textId="77777777" w:rsidR="0059236C" w:rsidRPr="00002F54" w:rsidRDefault="0059236C" w:rsidP="0059236C">
            <w:pPr>
              <w:spacing w:after="0" w:line="240" w:lineRule="auto"/>
              <w:jc w:val="both"/>
              <w:rPr>
                <w:rFonts w:cs="Arial"/>
                <w:sz w:val="24"/>
                <w:szCs w:val="24"/>
              </w:rPr>
            </w:pPr>
            <w:r w:rsidRPr="00002F54">
              <w:rPr>
                <w:rFonts w:cs="Arial"/>
                <w:sz w:val="24"/>
                <w:szCs w:val="24"/>
              </w:rPr>
              <w:t>Faster Diagnosis (FDS), Operational Performance (OP) and Treatment Variation (TV) Programme update</w:t>
            </w:r>
          </w:p>
          <w:p w14:paraId="706AD7E6" w14:textId="77777777" w:rsidR="00EF4DDA" w:rsidRPr="00002F54" w:rsidRDefault="00EF4DDA" w:rsidP="0059236C">
            <w:pPr>
              <w:spacing w:after="0" w:line="240" w:lineRule="auto"/>
              <w:jc w:val="both"/>
              <w:rPr>
                <w:rFonts w:cs="Arial"/>
                <w:sz w:val="24"/>
                <w:szCs w:val="24"/>
              </w:rPr>
            </w:pPr>
          </w:p>
        </w:tc>
      </w:tr>
      <w:tr w:rsidR="0059236C" w:rsidRPr="00002F54" w14:paraId="37278F2F" w14:textId="77777777" w:rsidTr="00A821DF">
        <w:trPr>
          <w:jc w:val="center"/>
        </w:trPr>
        <w:tc>
          <w:tcPr>
            <w:tcW w:w="1792" w:type="dxa"/>
            <w:shd w:val="clear" w:color="auto" w:fill="FFFFFF"/>
          </w:tcPr>
          <w:p w14:paraId="10D03AEB" w14:textId="77777777" w:rsidR="0059236C" w:rsidRPr="00002F54" w:rsidRDefault="0059236C" w:rsidP="0059236C">
            <w:pPr>
              <w:spacing w:after="0" w:line="240" w:lineRule="auto"/>
              <w:rPr>
                <w:rFonts w:cs="Arial"/>
                <w:b/>
                <w:sz w:val="24"/>
                <w:szCs w:val="24"/>
              </w:rPr>
            </w:pPr>
            <w:r w:rsidRPr="00002F54">
              <w:rPr>
                <w:rFonts w:cs="Arial"/>
                <w:b/>
                <w:sz w:val="24"/>
                <w:szCs w:val="24"/>
              </w:rPr>
              <w:t>Purpose of the paper:</w:t>
            </w:r>
          </w:p>
        </w:tc>
        <w:tc>
          <w:tcPr>
            <w:tcW w:w="8170" w:type="dxa"/>
            <w:shd w:val="clear" w:color="auto" w:fill="FFFFFF"/>
          </w:tcPr>
          <w:p w14:paraId="1F710CA9" w14:textId="77777777" w:rsidR="0059236C" w:rsidRPr="00002F54" w:rsidRDefault="0059236C" w:rsidP="0059236C">
            <w:pPr>
              <w:spacing w:after="0" w:line="240" w:lineRule="auto"/>
              <w:contextualSpacing/>
              <w:jc w:val="both"/>
              <w:rPr>
                <w:rFonts w:cs="Arial"/>
                <w:sz w:val="24"/>
                <w:szCs w:val="24"/>
              </w:rPr>
            </w:pPr>
            <w:r w:rsidRPr="00002F54">
              <w:rPr>
                <w:rFonts w:cs="Arial"/>
                <w:sz w:val="24"/>
                <w:szCs w:val="24"/>
              </w:rPr>
              <w:t xml:space="preserve">To inform the GM Cancer Board of the current performance against key planning metrics and the constitutional Cancer Waiting Times Standards.  </w:t>
            </w:r>
          </w:p>
          <w:p w14:paraId="4EFF6737" w14:textId="77777777" w:rsidR="00EF4DDA" w:rsidRPr="00002F54" w:rsidRDefault="00EF4DDA" w:rsidP="0059236C">
            <w:pPr>
              <w:spacing w:after="0" w:line="240" w:lineRule="auto"/>
              <w:contextualSpacing/>
              <w:jc w:val="both"/>
              <w:rPr>
                <w:rFonts w:cs="Arial"/>
                <w:sz w:val="24"/>
                <w:szCs w:val="24"/>
              </w:rPr>
            </w:pPr>
          </w:p>
        </w:tc>
      </w:tr>
      <w:tr w:rsidR="0059236C" w:rsidRPr="00002F54" w14:paraId="4C73483D" w14:textId="77777777" w:rsidTr="00A821DF">
        <w:trPr>
          <w:jc w:val="center"/>
        </w:trPr>
        <w:tc>
          <w:tcPr>
            <w:tcW w:w="1792" w:type="dxa"/>
            <w:shd w:val="clear" w:color="auto" w:fill="FFFFFF"/>
          </w:tcPr>
          <w:p w14:paraId="03ACCEA0" w14:textId="77777777" w:rsidR="0059236C" w:rsidRPr="00002F54" w:rsidRDefault="0059236C" w:rsidP="0059236C">
            <w:pPr>
              <w:spacing w:after="0" w:line="240" w:lineRule="auto"/>
              <w:rPr>
                <w:rFonts w:cs="Arial"/>
                <w:b/>
                <w:sz w:val="24"/>
                <w:szCs w:val="24"/>
              </w:rPr>
            </w:pPr>
            <w:r w:rsidRPr="00002F54">
              <w:rPr>
                <w:rFonts w:cs="Arial"/>
                <w:b/>
                <w:sz w:val="24"/>
                <w:szCs w:val="24"/>
              </w:rPr>
              <w:t>Summary outline of main points / highlights / issues:</w:t>
            </w:r>
          </w:p>
        </w:tc>
        <w:tc>
          <w:tcPr>
            <w:tcW w:w="8170" w:type="dxa"/>
            <w:shd w:val="clear" w:color="auto" w:fill="FFFFFF"/>
          </w:tcPr>
          <w:p w14:paraId="177F8DB8" w14:textId="77777777" w:rsidR="0059236C" w:rsidRPr="00002F54" w:rsidRDefault="0059236C" w:rsidP="0059236C">
            <w:pPr>
              <w:autoSpaceDE w:val="0"/>
              <w:autoSpaceDN w:val="0"/>
              <w:spacing w:after="0" w:line="240" w:lineRule="auto"/>
              <w:rPr>
                <w:rFonts w:eastAsia="Times New Roman" w:cs="Arial"/>
                <w:color w:val="FF0000"/>
                <w:sz w:val="24"/>
                <w:szCs w:val="24"/>
              </w:rPr>
            </w:pPr>
          </w:p>
          <w:p w14:paraId="136C8B29" w14:textId="0C1DAB9C" w:rsidR="0059236C" w:rsidRPr="00002F54" w:rsidRDefault="0059236C" w:rsidP="0059236C">
            <w:pPr>
              <w:numPr>
                <w:ilvl w:val="0"/>
                <w:numId w:val="2"/>
              </w:numPr>
              <w:autoSpaceDE w:val="0"/>
              <w:autoSpaceDN w:val="0"/>
              <w:spacing w:after="0" w:line="240" w:lineRule="auto"/>
              <w:rPr>
                <w:rFonts w:eastAsia="Times New Roman" w:cs="Arial"/>
                <w:sz w:val="24"/>
                <w:szCs w:val="24"/>
              </w:rPr>
            </w:pPr>
            <w:r w:rsidRPr="00002F54">
              <w:rPr>
                <w:rFonts w:eastAsia="Times New Roman" w:cs="Arial"/>
                <w:sz w:val="24"/>
                <w:szCs w:val="24"/>
              </w:rPr>
              <w:t xml:space="preserve">Performance against key planning metrics </w:t>
            </w:r>
          </w:p>
          <w:p w14:paraId="46236A07" w14:textId="77777777" w:rsidR="0059236C" w:rsidRPr="00002F54" w:rsidRDefault="0059236C" w:rsidP="0059236C">
            <w:pPr>
              <w:numPr>
                <w:ilvl w:val="0"/>
                <w:numId w:val="2"/>
              </w:numPr>
              <w:autoSpaceDE w:val="0"/>
              <w:autoSpaceDN w:val="0"/>
              <w:spacing w:after="0" w:line="240" w:lineRule="auto"/>
              <w:rPr>
                <w:rFonts w:eastAsia="Times New Roman" w:cs="Arial"/>
                <w:sz w:val="24"/>
                <w:szCs w:val="24"/>
              </w:rPr>
            </w:pPr>
            <w:r w:rsidRPr="00002F54">
              <w:rPr>
                <w:rFonts w:eastAsia="Times New Roman" w:cs="Arial"/>
                <w:sz w:val="24"/>
                <w:szCs w:val="24"/>
              </w:rPr>
              <w:t xml:space="preserve">Cancer Waiting Times performance </w:t>
            </w:r>
          </w:p>
          <w:p w14:paraId="0C0A13AD" w14:textId="42E7400F" w:rsidR="00643EFF" w:rsidRDefault="00643EFF" w:rsidP="0059236C">
            <w:pPr>
              <w:numPr>
                <w:ilvl w:val="0"/>
                <w:numId w:val="2"/>
              </w:numPr>
              <w:autoSpaceDE w:val="0"/>
              <w:autoSpaceDN w:val="0"/>
              <w:spacing w:after="0" w:line="240" w:lineRule="auto"/>
              <w:rPr>
                <w:rFonts w:cs="Arial"/>
                <w:sz w:val="24"/>
                <w:szCs w:val="24"/>
              </w:rPr>
            </w:pPr>
            <w:r>
              <w:rPr>
                <w:rFonts w:cs="Arial"/>
                <w:sz w:val="24"/>
                <w:szCs w:val="24"/>
              </w:rPr>
              <w:t>Underpinning Pathway Data</w:t>
            </w:r>
          </w:p>
          <w:p w14:paraId="3A00B654" w14:textId="37F9FA74" w:rsidR="0059236C" w:rsidRDefault="002951C6" w:rsidP="0059236C">
            <w:pPr>
              <w:numPr>
                <w:ilvl w:val="0"/>
                <w:numId w:val="2"/>
              </w:numPr>
              <w:autoSpaceDE w:val="0"/>
              <w:autoSpaceDN w:val="0"/>
              <w:spacing w:after="0" w:line="240" w:lineRule="auto"/>
              <w:rPr>
                <w:rFonts w:cs="Arial"/>
                <w:sz w:val="24"/>
                <w:szCs w:val="24"/>
              </w:rPr>
            </w:pPr>
            <w:r>
              <w:rPr>
                <w:rFonts w:cs="Arial"/>
                <w:sz w:val="24"/>
                <w:szCs w:val="24"/>
              </w:rPr>
              <w:t xml:space="preserve">Work Programme Update </w:t>
            </w:r>
          </w:p>
          <w:p w14:paraId="72515FE1" w14:textId="0148B056" w:rsidR="00E74A64" w:rsidRDefault="00362AB0" w:rsidP="0059236C">
            <w:pPr>
              <w:numPr>
                <w:ilvl w:val="0"/>
                <w:numId w:val="2"/>
              </w:numPr>
              <w:autoSpaceDE w:val="0"/>
              <w:autoSpaceDN w:val="0"/>
              <w:spacing w:after="0" w:line="240" w:lineRule="auto"/>
              <w:rPr>
                <w:rFonts w:cs="Arial"/>
                <w:sz w:val="24"/>
                <w:szCs w:val="24"/>
              </w:rPr>
            </w:pPr>
            <w:r>
              <w:rPr>
                <w:rFonts w:cs="Arial"/>
                <w:sz w:val="24"/>
                <w:szCs w:val="24"/>
              </w:rPr>
              <w:t>CWT guidance change (V12.1)</w:t>
            </w:r>
          </w:p>
          <w:p w14:paraId="649756CA" w14:textId="77777777" w:rsidR="00F3712C" w:rsidRPr="00002F54" w:rsidRDefault="00F3712C" w:rsidP="0059236C">
            <w:pPr>
              <w:numPr>
                <w:ilvl w:val="0"/>
                <w:numId w:val="2"/>
              </w:numPr>
              <w:autoSpaceDE w:val="0"/>
              <w:autoSpaceDN w:val="0"/>
              <w:spacing w:after="0" w:line="240" w:lineRule="auto"/>
              <w:rPr>
                <w:rFonts w:cs="Arial"/>
                <w:sz w:val="24"/>
                <w:szCs w:val="24"/>
              </w:rPr>
            </w:pPr>
            <w:r w:rsidRPr="00002F54">
              <w:rPr>
                <w:rFonts w:cs="Arial"/>
                <w:sz w:val="24"/>
                <w:szCs w:val="24"/>
              </w:rPr>
              <w:t>Risks</w:t>
            </w:r>
          </w:p>
          <w:p w14:paraId="57A768FB" w14:textId="263FB2D1" w:rsidR="00F3712C" w:rsidRPr="00002F54" w:rsidRDefault="00F3712C" w:rsidP="00F3712C">
            <w:pPr>
              <w:autoSpaceDE w:val="0"/>
              <w:autoSpaceDN w:val="0"/>
              <w:spacing w:after="0" w:line="240" w:lineRule="auto"/>
              <w:ind w:left="720"/>
              <w:rPr>
                <w:rFonts w:cs="Arial"/>
                <w:sz w:val="24"/>
                <w:szCs w:val="24"/>
              </w:rPr>
            </w:pPr>
          </w:p>
        </w:tc>
      </w:tr>
      <w:tr w:rsidR="0059236C" w:rsidRPr="00002F54" w14:paraId="6F5F62D4" w14:textId="77777777" w:rsidTr="00A821DF">
        <w:trPr>
          <w:jc w:val="center"/>
        </w:trPr>
        <w:tc>
          <w:tcPr>
            <w:tcW w:w="1792" w:type="dxa"/>
            <w:shd w:val="clear" w:color="auto" w:fill="FFFFFF"/>
          </w:tcPr>
          <w:p w14:paraId="7DA72AF1" w14:textId="77777777" w:rsidR="0059236C" w:rsidRPr="00002F54" w:rsidRDefault="0059236C" w:rsidP="0059236C">
            <w:pPr>
              <w:spacing w:after="0" w:line="240" w:lineRule="auto"/>
              <w:rPr>
                <w:rFonts w:cs="Arial"/>
                <w:b/>
                <w:sz w:val="24"/>
                <w:szCs w:val="24"/>
              </w:rPr>
            </w:pPr>
            <w:r w:rsidRPr="00002F54">
              <w:rPr>
                <w:rFonts w:cs="Arial"/>
                <w:b/>
                <w:sz w:val="24"/>
                <w:szCs w:val="24"/>
              </w:rPr>
              <w:t>Consulted:</w:t>
            </w:r>
          </w:p>
        </w:tc>
        <w:tc>
          <w:tcPr>
            <w:tcW w:w="8170" w:type="dxa"/>
            <w:shd w:val="clear" w:color="auto" w:fill="FFFFFF"/>
          </w:tcPr>
          <w:p w14:paraId="7733AB04" w14:textId="03A320EF" w:rsidR="009431AF" w:rsidRPr="00002F54" w:rsidRDefault="002951C6" w:rsidP="0059236C">
            <w:pPr>
              <w:autoSpaceDE w:val="0"/>
              <w:autoSpaceDN w:val="0"/>
              <w:adjustRightInd w:val="0"/>
              <w:spacing w:after="0" w:line="240" w:lineRule="auto"/>
              <w:rPr>
                <w:rFonts w:cs="Arial"/>
                <w:sz w:val="24"/>
                <w:szCs w:val="24"/>
              </w:rPr>
            </w:pPr>
            <w:r>
              <w:rPr>
                <w:rFonts w:cs="Arial"/>
                <w:sz w:val="24"/>
                <w:szCs w:val="24"/>
              </w:rPr>
              <w:t>N/A</w:t>
            </w:r>
            <w:r w:rsidR="00E74A64">
              <w:rPr>
                <w:rFonts w:cs="Arial"/>
                <w:sz w:val="24"/>
                <w:szCs w:val="24"/>
              </w:rPr>
              <w:t xml:space="preserve"> (pathway updates to Programme Assurance, Programme Board etc)</w:t>
            </w:r>
          </w:p>
          <w:p w14:paraId="6B8BDB0D" w14:textId="77777777" w:rsidR="0059236C" w:rsidRPr="00002F54" w:rsidRDefault="0059236C" w:rsidP="0059236C">
            <w:pPr>
              <w:autoSpaceDE w:val="0"/>
              <w:autoSpaceDN w:val="0"/>
              <w:adjustRightInd w:val="0"/>
              <w:spacing w:after="0" w:line="240" w:lineRule="auto"/>
              <w:rPr>
                <w:rFonts w:cs="Arial"/>
                <w:sz w:val="24"/>
                <w:szCs w:val="24"/>
              </w:rPr>
            </w:pPr>
          </w:p>
        </w:tc>
      </w:tr>
      <w:tr w:rsidR="0059236C" w:rsidRPr="00002F54" w14:paraId="3DCD2385" w14:textId="77777777" w:rsidTr="00A821DF">
        <w:trPr>
          <w:jc w:val="center"/>
        </w:trPr>
        <w:tc>
          <w:tcPr>
            <w:tcW w:w="1792" w:type="dxa"/>
            <w:shd w:val="clear" w:color="auto" w:fill="FFFFFF"/>
          </w:tcPr>
          <w:p w14:paraId="395F4871" w14:textId="77777777" w:rsidR="0059236C" w:rsidRPr="00002F54" w:rsidRDefault="0059236C" w:rsidP="0059236C">
            <w:pPr>
              <w:spacing w:after="0" w:line="240" w:lineRule="auto"/>
              <w:rPr>
                <w:rFonts w:cs="Arial"/>
                <w:b/>
                <w:sz w:val="24"/>
                <w:szCs w:val="24"/>
              </w:rPr>
            </w:pPr>
            <w:r w:rsidRPr="00002F54">
              <w:rPr>
                <w:rFonts w:cs="Arial"/>
                <w:b/>
                <w:sz w:val="24"/>
                <w:szCs w:val="24"/>
              </w:rPr>
              <w:t>Author of paper and contact details:</w:t>
            </w:r>
          </w:p>
        </w:tc>
        <w:tc>
          <w:tcPr>
            <w:tcW w:w="8170" w:type="dxa"/>
            <w:shd w:val="clear" w:color="auto" w:fill="FFFFFF"/>
          </w:tcPr>
          <w:p w14:paraId="176AE069" w14:textId="77777777" w:rsidR="0059236C" w:rsidRPr="00002F54" w:rsidRDefault="0059236C" w:rsidP="0059236C">
            <w:pPr>
              <w:autoSpaceDE w:val="0"/>
              <w:autoSpaceDN w:val="0"/>
              <w:adjustRightInd w:val="0"/>
              <w:spacing w:after="0" w:line="240" w:lineRule="auto"/>
              <w:jc w:val="both"/>
              <w:rPr>
                <w:rFonts w:eastAsia="Times New Roman" w:cs="Arial"/>
                <w:bCs/>
                <w:color w:val="000000"/>
                <w:sz w:val="24"/>
                <w:szCs w:val="24"/>
              </w:rPr>
            </w:pPr>
            <w:r w:rsidRPr="00002F54">
              <w:rPr>
                <w:rFonts w:eastAsia="Times New Roman" w:cs="Arial"/>
                <w:bCs/>
                <w:color w:val="000000"/>
                <w:sz w:val="24"/>
                <w:szCs w:val="24"/>
              </w:rPr>
              <w:t>Name: Lisa Galligan-Dawson</w:t>
            </w:r>
          </w:p>
          <w:p w14:paraId="7A2FC8F3" w14:textId="77777777" w:rsidR="0059236C" w:rsidRPr="00002F54" w:rsidRDefault="0059236C" w:rsidP="0059236C">
            <w:pPr>
              <w:autoSpaceDE w:val="0"/>
              <w:autoSpaceDN w:val="0"/>
              <w:adjustRightInd w:val="0"/>
              <w:spacing w:after="0" w:line="240" w:lineRule="auto"/>
              <w:jc w:val="both"/>
              <w:rPr>
                <w:rFonts w:eastAsia="Times New Roman" w:cs="Arial"/>
                <w:bCs/>
                <w:color w:val="000000"/>
                <w:sz w:val="24"/>
                <w:szCs w:val="24"/>
              </w:rPr>
            </w:pPr>
            <w:r w:rsidRPr="00002F54">
              <w:rPr>
                <w:rFonts w:eastAsia="Times New Roman" w:cs="Arial"/>
                <w:bCs/>
                <w:color w:val="000000"/>
                <w:sz w:val="24"/>
                <w:szCs w:val="24"/>
              </w:rPr>
              <w:t xml:space="preserve">Title:    Director of Performance </w:t>
            </w:r>
          </w:p>
          <w:p w14:paraId="69DDC292" w14:textId="142B9C67" w:rsidR="0059236C" w:rsidRDefault="0059236C" w:rsidP="0059236C">
            <w:pPr>
              <w:spacing w:after="0" w:line="240" w:lineRule="auto"/>
              <w:contextualSpacing/>
              <w:rPr>
                <w:rStyle w:val="Hyperlink"/>
                <w:rFonts w:eastAsia="Times New Roman" w:cs="Arial"/>
                <w:bCs/>
                <w:sz w:val="24"/>
                <w:szCs w:val="24"/>
              </w:rPr>
            </w:pPr>
            <w:r w:rsidRPr="00002F54">
              <w:rPr>
                <w:rFonts w:eastAsia="Times New Roman" w:cs="Arial"/>
                <w:bCs/>
                <w:color w:val="000000"/>
                <w:sz w:val="24"/>
                <w:szCs w:val="24"/>
              </w:rPr>
              <w:t xml:space="preserve">Email: </w:t>
            </w:r>
            <w:hyperlink r:id="rId7" w:history="1">
              <w:r w:rsidR="009431AF" w:rsidRPr="00002F54">
                <w:rPr>
                  <w:rStyle w:val="Hyperlink"/>
                  <w:rFonts w:eastAsia="Times New Roman" w:cs="Arial"/>
                  <w:bCs/>
                  <w:sz w:val="24"/>
                  <w:szCs w:val="24"/>
                </w:rPr>
                <w:t>lisa.galligan-dawson@nhs.net</w:t>
              </w:r>
            </w:hyperlink>
          </w:p>
          <w:p w14:paraId="4FC8D908" w14:textId="77777777" w:rsidR="00100583" w:rsidRDefault="00100583" w:rsidP="0059236C">
            <w:pPr>
              <w:spacing w:after="0" w:line="240" w:lineRule="auto"/>
              <w:contextualSpacing/>
              <w:rPr>
                <w:rStyle w:val="Hyperlink"/>
                <w:rFonts w:eastAsia="Times New Roman" w:cs="Arial"/>
                <w:bCs/>
              </w:rPr>
            </w:pPr>
          </w:p>
          <w:p w14:paraId="5940CA91" w14:textId="1AAD8BD9" w:rsidR="00100583" w:rsidRPr="00002F54" w:rsidRDefault="00100583" w:rsidP="0059236C">
            <w:pPr>
              <w:spacing w:after="0" w:line="240" w:lineRule="auto"/>
              <w:contextualSpacing/>
              <w:rPr>
                <w:rFonts w:eastAsia="Times New Roman" w:cs="Arial"/>
                <w:bCs/>
                <w:color w:val="000000"/>
                <w:sz w:val="24"/>
                <w:szCs w:val="24"/>
              </w:rPr>
            </w:pPr>
            <w:r>
              <w:rPr>
                <w:rFonts w:eastAsia="Times New Roman" w:cs="Arial"/>
                <w:bCs/>
                <w:color w:val="000000"/>
                <w:sz w:val="24"/>
                <w:szCs w:val="24"/>
              </w:rPr>
              <w:t>P</w:t>
            </w:r>
            <w:r>
              <w:rPr>
                <w:color w:val="000000"/>
                <w:sz w:val="24"/>
                <w:szCs w:val="24"/>
              </w:rPr>
              <w:t>resented by Sarah Hulme, Operational Performance Delivery Lead</w:t>
            </w:r>
          </w:p>
          <w:p w14:paraId="163D03F2" w14:textId="20B8445D" w:rsidR="009431AF" w:rsidRPr="00002F54" w:rsidRDefault="009431AF" w:rsidP="00F3712C">
            <w:pPr>
              <w:spacing w:after="0" w:line="240" w:lineRule="auto"/>
              <w:contextualSpacing/>
              <w:rPr>
                <w:rFonts w:cs="Arial"/>
                <w:bCs/>
                <w:sz w:val="24"/>
                <w:szCs w:val="24"/>
              </w:rPr>
            </w:pPr>
          </w:p>
        </w:tc>
      </w:tr>
    </w:tbl>
    <w:p w14:paraId="01D87F89" w14:textId="77777777" w:rsidR="0059236C" w:rsidRPr="00002F54" w:rsidRDefault="0059236C" w:rsidP="0059236C">
      <w:pPr>
        <w:rPr>
          <w:rFonts w:asciiTheme="majorHAnsi" w:hAnsiTheme="majorHAnsi" w:cstheme="majorHAnsi"/>
        </w:rPr>
      </w:pPr>
    </w:p>
    <w:p w14:paraId="69A1528E" w14:textId="77777777" w:rsidR="00EF4DDA" w:rsidRPr="00002F54" w:rsidRDefault="00EF4DDA" w:rsidP="00C221B1">
      <w:pPr>
        <w:pStyle w:val="Title"/>
      </w:pPr>
    </w:p>
    <w:p w14:paraId="6CE8FCBC" w14:textId="77777777" w:rsidR="00EF4DDA" w:rsidRPr="00002F54" w:rsidRDefault="00EF4DDA" w:rsidP="00C221B1">
      <w:pPr>
        <w:pStyle w:val="Title"/>
      </w:pPr>
    </w:p>
    <w:p w14:paraId="41349F66" w14:textId="77777777" w:rsidR="00EF4DDA" w:rsidRPr="00002F54" w:rsidRDefault="00EF4DDA" w:rsidP="00C221B1">
      <w:pPr>
        <w:pStyle w:val="Title"/>
      </w:pPr>
    </w:p>
    <w:p w14:paraId="1AD3E380" w14:textId="77777777" w:rsidR="00EF4DDA" w:rsidRPr="00002F54" w:rsidRDefault="00EF4DDA" w:rsidP="00C221B1">
      <w:pPr>
        <w:pStyle w:val="Title"/>
      </w:pPr>
    </w:p>
    <w:p w14:paraId="4DCB5800" w14:textId="77777777" w:rsidR="00EF4DDA" w:rsidRPr="00002F54" w:rsidRDefault="00EF4DDA" w:rsidP="00C221B1">
      <w:pPr>
        <w:pStyle w:val="Title"/>
      </w:pPr>
    </w:p>
    <w:p w14:paraId="0CFBE22D" w14:textId="77777777" w:rsidR="009F7679" w:rsidRPr="00002F54" w:rsidRDefault="009F7679" w:rsidP="009F7679"/>
    <w:p w14:paraId="36209A96" w14:textId="77777777" w:rsidR="00EF4DDA" w:rsidRPr="00002F54" w:rsidRDefault="00EF4DDA" w:rsidP="00C221B1">
      <w:pPr>
        <w:pStyle w:val="Title"/>
      </w:pPr>
    </w:p>
    <w:p w14:paraId="2A399901" w14:textId="77777777" w:rsidR="009F7679" w:rsidRPr="00002F54" w:rsidRDefault="009F7679" w:rsidP="009F7679">
      <w:pPr>
        <w:pStyle w:val="Heading1"/>
      </w:pPr>
      <w:r w:rsidRPr="00002F54">
        <w:lastRenderedPageBreak/>
        <w:t>Contents</w:t>
      </w:r>
    </w:p>
    <w:p w14:paraId="7EAF86AA" w14:textId="77777777" w:rsidR="009F7679" w:rsidRPr="00002F54" w:rsidRDefault="009F7679" w:rsidP="009F7679">
      <w:pPr>
        <w:spacing w:after="0" w:line="240" w:lineRule="auto"/>
        <w:rPr>
          <w:rFonts w:cs="Arial"/>
          <w:color w:val="8496B0" w:themeColor="text2" w:themeTint="99"/>
          <w:sz w:val="24"/>
          <w:szCs w:val="24"/>
        </w:rPr>
      </w:pPr>
    </w:p>
    <w:p w14:paraId="2ECE16A7" w14:textId="77777777" w:rsidR="009F7679" w:rsidRPr="00002F54" w:rsidRDefault="009F7679" w:rsidP="009F7679">
      <w:pPr>
        <w:spacing w:after="0" w:line="240" w:lineRule="auto"/>
        <w:rPr>
          <w:rFonts w:cs="Arial"/>
          <w:color w:val="8496B0" w:themeColor="text2" w:themeTint="99"/>
          <w:sz w:val="24"/>
          <w:szCs w:val="24"/>
        </w:rPr>
      </w:pPr>
    </w:p>
    <w:tbl>
      <w:tblPr>
        <w:tblStyle w:val="TableGrid"/>
        <w:tblW w:w="0" w:type="auto"/>
        <w:jc w:val="center"/>
        <w:tblLook w:val="04A0" w:firstRow="1" w:lastRow="0" w:firstColumn="1" w:lastColumn="0" w:noHBand="0" w:noVBand="1"/>
      </w:tblPr>
      <w:tblGrid>
        <w:gridCol w:w="1129"/>
        <w:gridCol w:w="7088"/>
      </w:tblGrid>
      <w:tr w:rsidR="009F7679" w:rsidRPr="00002F54" w14:paraId="5754924B" w14:textId="77777777" w:rsidTr="00A821DF">
        <w:trPr>
          <w:jc w:val="center"/>
        </w:trPr>
        <w:tc>
          <w:tcPr>
            <w:tcW w:w="1129" w:type="dxa"/>
          </w:tcPr>
          <w:p w14:paraId="3347D7EA" w14:textId="77777777" w:rsidR="009F7679" w:rsidRPr="00002F54" w:rsidRDefault="009F7679" w:rsidP="00A821DF">
            <w:pPr>
              <w:spacing w:line="240" w:lineRule="auto"/>
              <w:rPr>
                <w:rFonts w:cs="Arial"/>
                <w:color w:val="000000" w:themeColor="text1"/>
                <w:sz w:val="24"/>
              </w:rPr>
            </w:pPr>
            <w:r w:rsidRPr="00002F54">
              <w:rPr>
                <w:rFonts w:cs="Arial"/>
                <w:color w:val="000000" w:themeColor="text1"/>
                <w:sz w:val="24"/>
              </w:rPr>
              <w:t>1.0</w:t>
            </w:r>
          </w:p>
        </w:tc>
        <w:tc>
          <w:tcPr>
            <w:tcW w:w="7088" w:type="dxa"/>
          </w:tcPr>
          <w:p w14:paraId="6632FE47" w14:textId="77777777" w:rsidR="009F7679" w:rsidRPr="00002F54" w:rsidRDefault="009F7679" w:rsidP="00A821DF">
            <w:pPr>
              <w:spacing w:line="240" w:lineRule="auto"/>
              <w:rPr>
                <w:rFonts w:cs="Arial"/>
                <w:color w:val="000000" w:themeColor="text1"/>
                <w:sz w:val="24"/>
              </w:rPr>
            </w:pPr>
            <w:r w:rsidRPr="00002F54">
              <w:rPr>
                <w:rFonts w:cs="Arial"/>
                <w:color w:val="000000" w:themeColor="text1"/>
                <w:sz w:val="24"/>
              </w:rPr>
              <w:t>Background and context</w:t>
            </w:r>
          </w:p>
          <w:p w14:paraId="4D51D491" w14:textId="77777777" w:rsidR="009F7679" w:rsidRPr="00002F54" w:rsidRDefault="009F7679" w:rsidP="00A821DF">
            <w:pPr>
              <w:spacing w:line="240" w:lineRule="auto"/>
              <w:rPr>
                <w:rFonts w:cs="Arial"/>
                <w:color w:val="000000" w:themeColor="text1"/>
                <w:sz w:val="24"/>
              </w:rPr>
            </w:pPr>
          </w:p>
        </w:tc>
      </w:tr>
      <w:tr w:rsidR="009F7679" w:rsidRPr="00002F54" w14:paraId="41121731" w14:textId="77777777" w:rsidTr="00A821DF">
        <w:trPr>
          <w:jc w:val="center"/>
        </w:trPr>
        <w:tc>
          <w:tcPr>
            <w:tcW w:w="1129" w:type="dxa"/>
          </w:tcPr>
          <w:p w14:paraId="627D3C5B" w14:textId="77777777" w:rsidR="009F7679" w:rsidRPr="00002F54" w:rsidRDefault="009F7679" w:rsidP="00A821DF">
            <w:pPr>
              <w:spacing w:line="240" w:lineRule="auto"/>
              <w:rPr>
                <w:rFonts w:cs="Arial"/>
                <w:color w:val="000000" w:themeColor="text1"/>
                <w:sz w:val="24"/>
              </w:rPr>
            </w:pPr>
            <w:r w:rsidRPr="00002F54">
              <w:rPr>
                <w:rFonts w:cs="Arial"/>
                <w:color w:val="000000" w:themeColor="text1"/>
                <w:sz w:val="24"/>
              </w:rPr>
              <w:t>2.0</w:t>
            </w:r>
          </w:p>
        </w:tc>
        <w:tc>
          <w:tcPr>
            <w:tcW w:w="7088" w:type="dxa"/>
          </w:tcPr>
          <w:p w14:paraId="79816B96" w14:textId="77777777" w:rsidR="009F7679" w:rsidRPr="00002F54" w:rsidRDefault="009F7679" w:rsidP="00A821DF">
            <w:pPr>
              <w:spacing w:line="240" w:lineRule="auto"/>
              <w:rPr>
                <w:rFonts w:cs="Arial"/>
                <w:color w:val="000000" w:themeColor="text1"/>
                <w:sz w:val="24"/>
              </w:rPr>
            </w:pPr>
            <w:r w:rsidRPr="00002F54">
              <w:rPr>
                <w:rFonts w:cs="Arial"/>
                <w:color w:val="000000" w:themeColor="text1"/>
                <w:sz w:val="24"/>
              </w:rPr>
              <w:t>Key discussion points</w:t>
            </w:r>
          </w:p>
          <w:p w14:paraId="75095559" w14:textId="77777777" w:rsidR="009F7679" w:rsidRPr="00002F54" w:rsidRDefault="009F7679" w:rsidP="00A821DF">
            <w:pPr>
              <w:spacing w:line="240" w:lineRule="auto"/>
              <w:rPr>
                <w:rFonts w:cs="Arial"/>
                <w:color w:val="000000" w:themeColor="text1"/>
                <w:sz w:val="24"/>
              </w:rPr>
            </w:pPr>
          </w:p>
          <w:p w14:paraId="1BE25662" w14:textId="6199C461" w:rsidR="00107867" w:rsidRPr="00002F54" w:rsidRDefault="009F7679" w:rsidP="00A821DF">
            <w:pPr>
              <w:spacing w:line="240" w:lineRule="auto"/>
              <w:rPr>
                <w:rFonts w:cs="Arial"/>
                <w:color w:val="000000" w:themeColor="text1"/>
                <w:sz w:val="24"/>
              </w:rPr>
            </w:pPr>
            <w:r w:rsidRPr="00002F54">
              <w:rPr>
                <w:rFonts w:cs="Arial"/>
                <w:color w:val="000000" w:themeColor="text1"/>
                <w:sz w:val="24"/>
              </w:rPr>
              <w:t xml:space="preserve">     </w:t>
            </w:r>
          </w:p>
          <w:p w14:paraId="5DF4A9E4" w14:textId="77777777" w:rsidR="00643EFF" w:rsidRPr="00002F54" w:rsidRDefault="00643EFF" w:rsidP="00643EFF">
            <w:pPr>
              <w:numPr>
                <w:ilvl w:val="0"/>
                <w:numId w:val="2"/>
              </w:numPr>
              <w:autoSpaceDE w:val="0"/>
              <w:autoSpaceDN w:val="0"/>
              <w:spacing w:line="240" w:lineRule="auto"/>
              <w:rPr>
                <w:rFonts w:eastAsia="Times New Roman" w:cs="Arial"/>
                <w:sz w:val="24"/>
              </w:rPr>
            </w:pPr>
            <w:r w:rsidRPr="00002F54">
              <w:rPr>
                <w:rFonts w:eastAsia="Times New Roman" w:cs="Arial"/>
                <w:sz w:val="24"/>
              </w:rPr>
              <w:t xml:space="preserve">Performance against key planning metrics </w:t>
            </w:r>
          </w:p>
          <w:p w14:paraId="0E268ACA" w14:textId="77777777" w:rsidR="00643EFF" w:rsidRPr="00002F54" w:rsidRDefault="00643EFF" w:rsidP="00643EFF">
            <w:pPr>
              <w:numPr>
                <w:ilvl w:val="0"/>
                <w:numId w:val="2"/>
              </w:numPr>
              <w:autoSpaceDE w:val="0"/>
              <w:autoSpaceDN w:val="0"/>
              <w:spacing w:line="240" w:lineRule="auto"/>
              <w:rPr>
                <w:rFonts w:eastAsia="Times New Roman" w:cs="Arial"/>
                <w:sz w:val="24"/>
              </w:rPr>
            </w:pPr>
            <w:r w:rsidRPr="00002F54">
              <w:rPr>
                <w:rFonts w:eastAsia="Times New Roman" w:cs="Arial"/>
                <w:sz w:val="24"/>
              </w:rPr>
              <w:t xml:space="preserve">Cancer Waiting Times performance </w:t>
            </w:r>
          </w:p>
          <w:p w14:paraId="77A71DA1" w14:textId="77777777" w:rsidR="00643EFF" w:rsidRDefault="00643EFF" w:rsidP="00643EFF">
            <w:pPr>
              <w:numPr>
                <w:ilvl w:val="0"/>
                <w:numId w:val="2"/>
              </w:numPr>
              <w:autoSpaceDE w:val="0"/>
              <w:autoSpaceDN w:val="0"/>
              <w:spacing w:line="240" w:lineRule="auto"/>
              <w:rPr>
                <w:rFonts w:cs="Arial"/>
                <w:sz w:val="24"/>
              </w:rPr>
            </w:pPr>
            <w:r>
              <w:rPr>
                <w:rFonts w:cs="Arial"/>
                <w:sz w:val="24"/>
              </w:rPr>
              <w:t>Underpinning Pathway Data</w:t>
            </w:r>
          </w:p>
          <w:p w14:paraId="612896CF" w14:textId="77777777" w:rsidR="00643EFF" w:rsidRDefault="00643EFF" w:rsidP="00643EFF">
            <w:pPr>
              <w:numPr>
                <w:ilvl w:val="0"/>
                <w:numId w:val="2"/>
              </w:numPr>
              <w:autoSpaceDE w:val="0"/>
              <w:autoSpaceDN w:val="0"/>
              <w:spacing w:line="240" w:lineRule="auto"/>
              <w:rPr>
                <w:rFonts w:cs="Arial"/>
                <w:sz w:val="24"/>
              </w:rPr>
            </w:pPr>
            <w:r>
              <w:rPr>
                <w:rFonts w:cs="Arial"/>
                <w:sz w:val="24"/>
              </w:rPr>
              <w:t xml:space="preserve">Work Programme Update </w:t>
            </w:r>
          </w:p>
          <w:p w14:paraId="3E7134A5" w14:textId="77777777" w:rsidR="00E74A64" w:rsidRDefault="00E74A64" w:rsidP="00E74A64">
            <w:pPr>
              <w:numPr>
                <w:ilvl w:val="0"/>
                <w:numId w:val="2"/>
              </w:numPr>
              <w:autoSpaceDE w:val="0"/>
              <w:autoSpaceDN w:val="0"/>
              <w:spacing w:line="240" w:lineRule="auto"/>
              <w:rPr>
                <w:rFonts w:cs="Arial"/>
                <w:sz w:val="24"/>
              </w:rPr>
            </w:pPr>
            <w:r>
              <w:rPr>
                <w:rFonts w:cs="Arial"/>
                <w:sz w:val="24"/>
              </w:rPr>
              <w:t>Forthcoming guidance changes (CWT)</w:t>
            </w:r>
          </w:p>
          <w:p w14:paraId="26CB1946" w14:textId="77777777" w:rsidR="00643EFF" w:rsidRPr="00002F54" w:rsidRDefault="00643EFF" w:rsidP="00643EFF">
            <w:pPr>
              <w:numPr>
                <w:ilvl w:val="0"/>
                <w:numId w:val="2"/>
              </w:numPr>
              <w:autoSpaceDE w:val="0"/>
              <w:autoSpaceDN w:val="0"/>
              <w:spacing w:line="240" w:lineRule="auto"/>
              <w:rPr>
                <w:rFonts w:cs="Arial"/>
                <w:sz w:val="24"/>
              </w:rPr>
            </w:pPr>
            <w:r w:rsidRPr="00002F54">
              <w:rPr>
                <w:rFonts w:cs="Arial"/>
                <w:sz w:val="24"/>
              </w:rPr>
              <w:t>Risks</w:t>
            </w:r>
          </w:p>
          <w:p w14:paraId="2FF62AC3" w14:textId="77777777" w:rsidR="00107867" w:rsidRPr="00002F54" w:rsidRDefault="00107867" w:rsidP="00A821DF">
            <w:pPr>
              <w:spacing w:line="240" w:lineRule="auto"/>
              <w:rPr>
                <w:rFonts w:cs="Arial"/>
                <w:color w:val="000000" w:themeColor="text1"/>
                <w:sz w:val="24"/>
              </w:rPr>
            </w:pPr>
          </w:p>
          <w:p w14:paraId="6412D213" w14:textId="77777777" w:rsidR="009F7679" w:rsidRPr="00002F54" w:rsidRDefault="009F7679" w:rsidP="00A821DF">
            <w:pPr>
              <w:spacing w:line="240" w:lineRule="auto"/>
              <w:rPr>
                <w:rFonts w:cs="Arial"/>
                <w:color w:val="000000" w:themeColor="text1"/>
                <w:sz w:val="24"/>
              </w:rPr>
            </w:pPr>
          </w:p>
        </w:tc>
      </w:tr>
      <w:tr w:rsidR="009F7679" w:rsidRPr="00002F54" w14:paraId="6742D0CF" w14:textId="77777777" w:rsidTr="00A821DF">
        <w:trPr>
          <w:jc w:val="center"/>
        </w:trPr>
        <w:tc>
          <w:tcPr>
            <w:tcW w:w="1129" w:type="dxa"/>
          </w:tcPr>
          <w:p w14:paraId="6E10890A" w14:textId="77777777" w:rsidR="009F7679" w:rsidRPr="00002F54" w:rsidRDefault="009F7679" w:rsidP="00A821DF">
            <w:pPr>
              <w:spacing w:line="240" w:lineRule="auto"/>
              <w:ind w:left="-113"/>
              <w:rPr>
                <w:rFonts w:cs="Arial"/>
                <w:color w:val="000000" w:themeColor="text1"/>
                <w:sz w:val="24"/>
              </w:rPr>
            </w:pPr>
            <w:r w:rsidRPr="00002F54">
              <w:rPr>
                <w:rFonts w:cs="Arial"/>
                <w:color w:val="000000" w:themeColor="text1"/>
                <w:sz w:val="24"/>
              </w:rPr>
              <w:t xml:space="preserve">  3.0</w:t>
            </w:r>
          </w:p>
        </w:tc>
        <w:tc>
          <w:tcPr>
            <w:tcW w:w="7088" w:type="dxa"/>
          </w:tcPr>
          <w:p w14:paraId="0B664776" w14:textId="77777777" w:rsidR="009F7679" w:rsidRPr="00002F54" w:rsidRDefault="009F7679" w:rsidP="00A821DF">
            <w:pPr>
              <w:spacing w:line="240" w:lineRule="auto"/>
              <w:rPr>
                <w:rFonts w:cs="Arial"/>
                <w:color w:val="000000" w:themeColor="text1"/>
                <w:sz w:val="24"/>
              </w:rPr>
            </w:pPr>
            <w:r w:rsidRPr="00002F54">
              <w:rPr>
                <w:rFonts w:cs="Arial"/>
                <w:color w:val="000000" w:themeColor="text1"/>
                <w:sz w:val="24"/>
              </w:rPr>
              <w:t>Recommendation, requests /support required of the Board</w:t>
            </w:r>
          </w:p>
          <w:p w14:paraId="6DD03309" w14:textId="77777777" w:rsidR="009F7679" w:rsidRPr="00002F54" w:rsidRDefault="009F7679" w:rsidP="00A821DF">
            <w:pPr>
              <w:spacing w:line="240" w:lineRule="auto"/>
              <w:rPr>
                <w:rFonts w:cs="Arial"/>
                <w:color w:val="000000" w:themeColor="text1"/>
                <w:sz w:val="24"/>
              </w:rPr>
            </w:pPr>
          </w:p>
        </w:tc>
      </w:tr>
      <w:tr w:rsidR="009F7679" w:rsidRPr="00002F54" w14:paraId="5021B051" w14:textId="77777777" w:rsidTr="00A821DF">
        <w:trPr>
          <w:jc w:val="center"/>
        </w:trPr>
        <w:tc>
          <w:tcPr>
            <w:tcW w:w="1129" w:type="dxa"/>
          </w:tcPr>
          <w:p w14:paraId="09518ED0" w14:textId="77777777" w:rsidR="009F7679" w:rsidRPr="00002F54" w:rsidRDefault="009F7679" w:rsidP="00A821DF">
            <w:pPr>
              <w:spacing w:line="240" w:lineRule="auto"/>
              <w:rPr>
                <w:rFonts w:cs="Arial"/>
                <w:color w:val="000000" w:themeColor="text1"/>
                <w:sz w:val="24"/>
              </w:rPr>
            </w:pPr>
          </w:p>
        </w:tc>
        <w:tc>
          <w:tcPr>
            <w:tcW w:w="7088" w:type="dxa"/>
          </w:tcPr>
          <w:p w14:paraId="16CBB135" w14:textId="4C0A590D" w:rsidR="00852AB8" w:rsidRDefault="009F7679" w:rsidP="00A821DF">
            <w:pPr>
              <w:tabs>
                <w:tab w:val="left" w:pos="987"/>
                <w:tab w:val="left" w:pos="1200"/>
              </w:tabs>
              <w:rPr>
                <w:rFonts w:cs="Arial"/>
                <w:sz w:val="24"/>
              </w:rPr>
            </w:pPr>
            <w:r w:rsidRPr="00002F54">
              <w:rPr>
                <w:rFonts w:cs="Arial"/>
                <w:sz w:val="24"/>
              </w:rPr>
              <w:t xml:space="preserve">Appendix 1 – </w:t>
            </w:r>
            <w:r w:rsidR="00100583">
              <w:rPr>
                <w:rFonts w:cs="Arial"/>
                <w:sz w:val="24"/>
              </w:rPr>
              <w:t>CWT performance</w:t>
            </w:r>
          </w:p>
          <w:p w14:paraId="6E90A2BC" w14:textId="625CEEF0" w:rsidR="009431AF" w:rsidRDefault="00BF6483" w:rsidP="00A821DF">
            <w:pPr>
              <w:tabs>
                <w:tab w:val="left" w:pos="987"/>
                <w:tab w:val="left" w:pos="1200"/>
              </w:tabs>
              <w:rPr>
                <w:rFonts w:cs="Arial"/>
                <w:sz w:val="24"/>
              </w:rPr>
            </w:pPr>
            <w:r w:rsidRPr="00002F54">
              <w:rPr>
                <w:rFonts w:cs="Arial"/>
                <w:sz w:val="24"/>
              </w:rPr>
              <w:t xml:space="preserve">Appendix </w:t>
            </w:r>
            <w:r w:rsidR="00100583">
              <w:rPr>
                <w:rFonts w:cs="Arial"/>
                <w:sz w:val="24"/>
              </w:rPr>
              <w:t>2</w:t>
            </w:r>
            <w:r w:rsidRPr="00002F54">
              <w:rPr>
                <w:rFonts w:cs="Arial"/>
                <w:sz w:val="24"/>
              </w:rPr>
              <w:t xml:space="preserve"> – </w:t>
            </w:r>
            <w:r w:rsidR="00AB210C" w:rsidRPr="00002F54">
              <w:rPr>
                <w:rFonts w:cs="Arial"/>
                <w:sz w:val="24"/>
              </w:rPr>
              <w:t xml:space="preserve">FDS and </w:t>
            </w:r>
            <w:r w:rsidR="00E74A64">
              <w:rPr>
                <w:rFonts w:cs="Arial"/>
                <w:sz w:val="24"/>
              </w:rPr>
              <w:t>op</w:t>
            </w:r>
            <w:r w:rsidR="00AB210C" w:rsidRPr="00002F54">
              <w:rPr>
                <w:rFonts w:cs="Arial"/>
                <w:sz w:val="24"/>
              </w:rPr>
              <w:t xml:space="preserve">erational </w:t>
            </w:r>
            <w:r w:rsidR="00E74A64">
              <w:rPr>
                <w:rFonts w:cs="Arial"/>
                <w:sz w:val="24"/>
              </w:rPr>
              <w:t>p</w:t>
            </w:r>
            <w:r w:rsidR="00AB210C" w:rsidRPr="00002F54">
              <w:rPr>
                <w:rFonts w:cs="Arial"/>
                <w:sz w:val="24"/>
              </w:rPr>
              <w:t xml:space="preserve">erformance </w:t>
            </w:r>
            <w:r w:rsidR="00E74A64">
              <w:rPr>
                <w:rFonts w:cs="Arial"/>
                <w:sz w:val="24"/>
              </w:rPr>
              <w:t>h</w:t>
            </w:r>
            <w:r w:rsidR="00AB210C" w:rsidRPr="00002F54">
              <w:rPr>
                <w:rFonts w:cs="Arial"/>
                <w:sz w:val="24"/>
              </w:rPr>
              <w:t xml:space="preserve">ighlight </w:t>
            </w:r>
            <w:r w:rsidR="00E74A64">
              <w:rPr>
                <w:rFonts w:cs="Arial"/>
                <w:sz w:val="24"/>
              </w:rPr>
              <w:t>r</w:t>
            </w:r>
            <w:r w:rsidR="00AB210C" w:rsidRPr="00002F54">
              <w:rPr>
                <w:rFonts w:cs="Arial"/>
                <w:sz w:val="24"/>
              </w:rPr>
              <w:t>eport</w:t>
            </w:r>
          </w:p>
          <w:p w14:paraId="451F0F02" w14:textId="2D28CA63" w:rsidR="00E74A64" w:rsidRDefault="00E74A64" w:rsidP="00A821DF">
            <w:pPr>
              <w:tabs>
                <w:tab w:val="left" w:pos="987"/>
                <w:tab w:val="left" w:pos="1200"/>
              </w:tabs>
              <w:rPr>
                <w:rFonts w:cs="Arial"/>
                <w:sz w:val="24"/>
              </w:rPr>
            </w:pPr>
            <w:r>
              <w:rPr>
                <w:rFonts w:cs="Arial"/>
                <w:sz w:val="24"/>
              </w:rPr>
              <w:t xml:space="preserve">Appendix </w:t>
            </w:r>
            <w:r w:rsidR="00100583">
              <w:rPr>
                <w:rFonts w:cs="Arial"/>
                <w:sz w:val="24"/>
              </w:rPr>
              <w:t>3</w:t>
            </w:r>
            <w:r>
              <w:rPr>
                <w:rFonts w:cs="Arial"/>
                <w:sz w:val="24"/>
              </w:rPr>
              <w:t xml:space="preserve"> – </w:t>
            </w:r>
            <w:r w:rsidR="00100583">
              <w:rPr>
                <w:rFonts w:cs="Arial"/>
                <w:sz w:val="24"/>
              </w:rPr>
              <w:t>Cancer Waiting Times Briefing Note</w:t>
            </w:r>
          </w:p>
          <w:p w14:paraId="5F82918F" w14:textId="5D5B62A3" w:rsidR="009F7679" w:rsidRDefault="00D143B1" w:rsidP="007946E4">
            <w:pPr>
              <w:tabs>
                <w:tab w:val="left" w:pos="987"/>
                <w:tab w:val="left" w:pos="1200"/>
              </w:tabs>
              <w:rPr>
                <w:rFonts w:cs="Arial"/>
                <w:color w:val="000000" w:themeColor="text1"/>
                <w:sz w:val="24"/>
              </w:rPr>
            </w:pPr>
            <w:r>
              <w:rPr>
                <w:rFonts w:cs="Arial"/>
                <w:sz w:val="24"/>
              </w:rPr>
              <w:t xml:space="preserve">Appendix </w:t>
            </w:r>
            <w:r w:rsidR="00AA6054">
              <w:rPr>
                <w:rFonts w:cs="Arial"/>
                <w:sz w:val="24"/>
              </w:rPr>
              <w:t>4</w:t>
            </w:r>
            <w:r>
              <w:rPr>
                <w:rFonts w:cs="Arial"/>
                <w:sz w:val="24"/>
              </w:rPr>
              <w:t xml:space="preserve"> –</w:t>
            </w:r>
            <w:r w:rsidR="007946E4">
              <w:rPr>
                <w:rFonts w:cs="Arial"/>
                <w:sz w:val="24"/>
              </w:rPr>
              <w:t xml:space="preserve"> </w:t>
            </w:r>
            <w:r w:rsidR="00E74A64">
              <w:rPr>
                <w:rFonts w:cs="Arial"/>
                <w:color w:val="000000" w:themeColor="text1"/>
                <w:sz w:val="24"/>
              </w:rPr>
              <w:t>G</w:t>
            </w:r>
            <w:r w:rsidR="00100583">
              <w:rPr>
                <w:rFonts w:cs="Arial"/>
                <w:color w:val="000000" w:themeColor="text1"/>
                <w:sz w:val="24"/>
              </w:rPr>
              <w:t>M Cancer Access Policy - Draft</w:t>
            </w:r>
          </w:p>
          <w:p w14:paraId="2F171289" w14:textId="5516FE67" w:rsidR="007946E4" w:rsidRDefault="007946E4" w:rsidP="007946E4">
            <w:pPr>
              <w:tabs>
                <w:tab w:val="left" w:pos="987"/>
                <w:tab w:val="left" w:pos="1200"/>
              </w:tabs>
              <w:rPr>
                <w:rFonts w:cs="Arial"/>
                <w:sz w:val="24"/>
              </w:rPr>
            </w:pPr>
          </w:p>
          <w:p w14:paraId="17270CC5" w14:textId="75D6A0BA" w:rsidR="007946E4" w:rsidRPr="00002F54" w:rsidRDefault="007946E4" w:rsidP="007946E4">
            <w:pPr>
              <w:tabs>
                <w:tab w:val="left" w:pos="987"/>
                <w:tab w:val="left" w:pos="1200"/>
              </w:tabs>
              <w:rPr>
                <w:rFonts w:cs="Arial"/>
                <w:color w:val="000000" w:themeColor="text1"/>
                <w:sz w:val="24"/>
              </w:rPr>
            </w:pPr>
          </w:p>
        </w:tc>
      </w:tr>
    </w:tbl>
    <w:p w14:paraId="3775E998" w14:textId="77777777" w:rsidR="00BF10E9" w:rsidRPr="00002F54" w:rsidRDefault="00BF10E9" w:rsidP="00BF10E9"/>
    <w:p w14:paraId="418F41B6" w14:textId="77777777" w:rsidR="00C221B1" w:rsidRPr="00002F54" w:rsidRDefault="00C221B1" w:rsidP="00C221B1"/>
    <w:p w14:paraId="2FD8C6A0" w14:textId="77777777" w:rsidR="00C221B1" w:rsidRPr="00002F54" w:rsidRDefault="00C221B1" w:rsidP="00C221B1"/>
    <w:p w14:paraId="2A48A3FF" w14:textId="77777777" w:rsidR="00C221B1" w:rsidRPr="00002F54" w:rsidRDefault="00C221B1"/>
    <w:p w14:paraId="3FC82622" w14:textId="77777777" w:rsidR="00511171" w:rsidRPr="00002F54" w:rsidRDefault="00511171"/>
    <w:p w14:paraId="7C6BBE8A" w14:textId="77777777" w:rsidR="00511171" w:rsidRPr="00002F54" w:rsidRDefault="00511171"/>
    <w:p w14:paraId="4C79AC51" w14:textId="77777777" w:rsidR="00511171" w:rsidRPr="00002F54" w:rsidRDefault="00511171"/>
    <w:p w14:paraId="72D486C0" w14:textId="77777777" w:rsidR="00511171" w:rsidRPr="00002F54" w:rsidRDefault="00511171"/>
    <w:p w14:paraId="5E426018" w14:textId="77777777" w:rsidR="00511171" w:rsidRDefault="00511171"/>
    <w:p w14:paraId="349C37F5" w14:textId="77777777" w:rsidR="00511171" w:rsidRPr="00002F54" w:rsidRDefault="00511171" w:rsidP="00511171">
      <w:pPr>
        <w:pStyle w:val="Heading1"/>
        <w:numPr>
          <w:ilvl w:val="0"/>
          <w:numId w:val="3"/>
        </w:numPr>
      </w:pPr>
      <w:r w:rsidRPr="00002F54">
        <w:lastRenderedPageBreak/>
        <w:t>Background and Context</w:t>
      </w:r>
    </w:p>
    <w:p w14:paraId="681B7C1B" w14:textId="77777777" w:rsidR="00511171" w:rsidRPr="00002F54" w:rsidRDefault="00511171" w:rsidP="00511171"/>
    <w:p w14:paraId="01750A4E" w14:textId="71E19D8E" w:rsidR="00511171" w:rsidRDefault="00511171" w:rsidP="004647D4">
      <w:pPr>
        <w:spacing w:after="0"/>
        <w:jc w:val="both"/>
        <w:rPr>
          <w:sz w:val="24"/>
          <w:szCs w:val="24"/>
        </w:rPr>
      </w:pPr>
      <w:r w:rsidRPr="00002F54">
        <w:rPr>
          <w:sz w:val="24"/>
          <w:szCs w:val="24"/>
        </w:rPr>
        <w:t xml:space="preserve">This paper seeks to inform the GM Cancer Board of progress in relation </w:t>
      </w:r>
      <w:r w:rsidR="004C3E6C">
        <w:rPr>
          <w:sz w:val="24"/>
          <w:szCs w:val="24"/>
        </w:rPr>
        <w:t>to</w:t>
      </w:r>
      <w:r w:rsidRPr="00002F54">
        <w:rPr>
          <w:sz w:val="24"/>
          <w:szCs w:val="24"/>
        </w:rPr>
        <w:t xml:space="preserve"> performance against the national Cancer Waiting Times standards</w:t>
      </w:r>
      <w:r w:rsidR="00107867" w:rsidRPr="00002F54">
        <w:rPr>
          <w:sz w:val="24"/>
          <w:szCs w:val="24"/>
        </w:rPr>
        <w:t xml:space="preserve">, </w:t>
      </w:r>
      <w:r w:rsidR="00100583">
        <w:rPr>
          <w:sz w:val="24"/>
          <w:szCs w:val="24"/>
        </w:rPr>
        <w:t>and position against the 24/25 planning requirements.</w:t>
      </w:r>
    </w:p>
    <w:p w14:paraId="3B04C9EC" w14:textId="77777777" w:rsidR="004647D4" w:rsidRPr="00002F54" w:rsidRDefault="004647D4" w:rsidP="004647D4">
      <w:pPr>
        <w:spacing w:after="0"/>
        <w:jc w:val="both"/>
        <w:rPr>
          <w:sz w:val="24"/>
          <w:szCs w:val="24"/>
        </w:rPr>
      </w:pPr>
    </w:p>
    <w:p w14:paraId="0218F46F" w14:textId="43E155EE" w:rsidR="00511171" w:rsidRPr="00002F54" w:rsidRDefault="00511171" w:rsidP="004647D4">
      <w:pPr>
        <w:spacing w:after="0"/>
        <w:jc w:val="both"/>
        <w:rPr>
          <w:sz w:val="24"/>
          <w:szCs w:val="24"/>
        </w:rPr>
      </w:pPr>
      <w:r w:rsidRPr="00002F54">
        <w:rPr>
          <w:sz w:val="24"/>
          <w:szCs w:val="24"/>
        </w:rPr>
        <w:t xml:space="preserve">Furthermore, this paper provides an update of the work programme designed to support improvement in the delivery of </w:t>
      </w:r>
      <w:r w:rsidR="005B7505" w:rsidRPr="00002F54">
        <w:rPr>
          <w:sz w:val="24"/>
          <w:szCs w:val="24"/>
        </w:rPr>
        <w:t>the Faster</w:t>
      </w:r>
      <w:r w:rsidRPr="00002F54">
        <w:rPr>
          <w:sz w:val="24"/>
          <w:szCs w:val="24"/>
        </w:rPr>
        <w:t xml:space="preserve"> Diagnosis Standards, Operational Performance and Treatment Variation</w:t>
      </w:r>
      <w:r w:rsidR="00100583">
        <w:rPr>
          <w:sz w:val="24"/>
          <w:szCs w:val="24"/>
        </w:rPr>
        <w:t xml:space="preserve"> and the 25/26 delivery requirements</w:t>
      </w:r>
      <w:r w:rsidRPr="00002F54">
        <w:rPr>
          <w:sz w:val="24"/>
          <w:szCs w:val="24"/>
        </w:rPr>
        <w:t xml:space="preserve">.  </w:t>
      </w:r>
    </w:p>
    <w:p w14:paraId="1265EC3E" w14:textId="77777777" w:rsidR="00511171" w:rsidRPr="00002F54" w:rsidRDefault="00511171" w:rsidP="00511171"/>
    <w:p w14:paraId="6B24C20D" w14:textId="77777777" w:rsidR="00511171" w:rsidRPr="00002F54" w:rsidRDefault="00511171" w:rsidP="00511171">
      <w:pPr>
        <w:pStyle w:val="Heading1"/>
      </w:pPr>
      <w:r w:rsidRPr="00002F54">
        <w:t>2.0 Key Discussion Points</w:t>
      </w:r>
    </w:p>
    <w:p w14:paraId="7C354EC3" w14:textId="77777777" w:rsidR="00511171" w:rsidRPr="00002F54" w:rsidRDefault="00511171" w:rsidP="00511171">
      <w:pPr>
        <w:spacing w:line="240" w:lineRule="auto"/>
        <w:rPr>
          <w:rFonts w:cs="Arial"/>
          <w:color w:val="000000" w:themeColor="text1"/>
          <w:sz w:val="24"/>
        </w:rPr>
      </w:pPr>
    </w:p>
    <w:p w14:paraId="241B95F0" w14:textId="599B04C1" w:rsidR="00511171" w:rsidRPr="00002F54" w:rsidRDefault="00511171" w:rsidP="00511171">
      <w:pPr>
        <w:spacing w:line="240" w:lineRule="auto"/>
        <w:rPr>
          <w:rFonts w:cs="Arial"/>
          <w:color w:val="000000" w:themeColor="text1"/>
          <w:sz w:val="24"/>
          <w:u w:val="single"/>
        </w:rPr>
      </w:pPr>
      <w:r w:rsidRPr="00002F54">
        <w:rPr>
          <w:rFonts w:cs="Arial"/>
          <w:color w:val="000000" w:themeColor="text1"/>
          <w:sz w:val="24"/>
          <w:szCs w:val="24"/>
          <w:u w:val="single"/>
        </w:rPr>
        <w:t>2.1 Performance against the key ICB planning requirements</w:t>
      </w:r>
      <w:r w:rsidR="00107867" w:rsidRPr="00002F54">
        <w:rPr>
          <w:rFonts w:cs="Arial"/>
          <w:color w:val="000000" w:themeColor="text1"/>
          <w:sz w:val="24"/>
          <w:szCs w:val="24"/>
          <w:u w:val="single"/>
        </w:rPr>
        <w:t xml:space="preserve"> (24/25</w:t>
      </w:r>
      <w:r w:rsidR="003D48E8">
        <w:rPr>
          <w:rFonts w:cs="Arial"/>
          <w:color w:val="000000" w:themeColor="text1"/>
          <w:sz w:val="24"/>
          <w:szCs w:val="24"/>
          <w:u w:val="single"/>
        </w:rPr>
        <w:t xml:space="preserve"> and 25/26)</w:t>
      </w:r>
    </w:p>
    <w:p w14:paraId="5153DED8" w14:textId="77777777" w:rsidR="000A027E" w:rsidRPr="00002F54" w:rsidRDefault="000A027E" w:rsidP="007B5609">
      <w:pPr>
        <w:spacing w:line="240" w:lineRule="auto"/>
        <w:jc w:val="both"/>
        <w:rPr>
          <w:rFonts w:cs="Arial"/>
          <w:color w:val="000000" w:themeColor="text1"/>
          <w:sz w:val="24"/>
        </w:rPr>
      </w:pPr>
    </w:p>
    <w:p w14:paraId="36DD423D" w14:textId="35E35E7E" w:rsidR="00F8057F" w:rsidRDefault="004C3E6C" w:rsidP="007B5609">
      <w:pPr>
        <w:spacing w:line="240" w:lineRule="auto"/>
        <w:jc w:val="both"/>
        <w:rPr>
          <w:rFonts w:cs="Arial"/>
          <w:color w:val="000000" w:themeColor="text1"/>
          <w:sz w:val="24"/>
          <w:szCs w:val="24"/>
        </w:rPr>
      </w:pPr>
      <w:r>
        <w:rPr>
          <w:rFonts w:cs="Arial"/>
          <w:color w:val="000000" w:themeColor="text1"/>
          <w:sz w:val="24"/>
          <w:szCs w:val="24"/>
        </w:rPr>
        <w:t xml:space="preserve">In 24/25 there </w:t>
      </w:r>
      <w:r w:rsidR="00100583">
        <w:rPr>
          <w:rFonts w:cs="Arial"/>
          <w:color w:val="000000" w:themeColor="text1"/>
          <w:sz w:val="24"/>
          <w:szCs w:val="24"/>
        </w:rPr>
        <w:t>were</w:t>
      </w:r>
      <w:r>
        <w:rPr>
          <w:rFonts w:cs="Arial"/>
          <w:color w:val="000000" w:themeColor="text1"/>
          <w:sz w:val="24"/>
          <w:szCs w:val="24"/>
        </w:rPr>
        <w:t xml:space="preserve"> two requirements for Cancer within the main system planning requirements related to operational performance.  </w:t>
      </w:r>
    </w:p>
    <w:p w14:paraId="70FEC701" w14:textId="07F0CCDD" w:rsidR="004C3E6C" w:rsidRDefault="004C3E6C" w:rsidP="007B5609">
      <w:pPr>
        <w:spacing w:line="240" w:lineRule="auto"/>
        <w:jc w:val="both"/>
        <w:rPr>
          <w:rFonts w:cs="Arial"/>
          <w:color w:val="000000" w:themeColor="text1"/>
          <w:sz w:val="24"/>
          <w:szCs w:val="24"/>
        </w:rPr>
      </w:pPr>
      <w:r>
        <w:rPr>
          <w:rFonts w:cs="Arial"/>
          <w:color w:val="000000" w:themeColor="text1"/>
          <w:sz w:val="24"/>
          <w:szCs w:val="24"/>
        </w:rPr>
        <w:t>Deliver FDS 28 day performance – 77%</w:t>
      </w:r>
    </w:p>
    <w:p w14:paraId="003BCF9A" w14:textId="5E76EF32" w:rsidR="004C3E6C" w:rsidRDefault="004C3E6C" w:rsidP="007B5609">
      <w:pPr>
        <w:spacing w:line="240" w:lineRule="auto"/>
        <w:jc w:val="both"/>
        <w:rPr>
          <w:rFonts w:cs="Arial"/>
          <w:color w:val="000000" w:themeColor="text1"/>
          <w:sz w:val="24"/>
          <w:szCs w:val="24"/>
        </w:rPr>
      </w:pPr>
      <w:r>
        <w:rPr>
          <w:rFonts w:cs="Arial"/>
          <w:color w:val="000000" w:themeColor="text1"/>
          <w:sz w:val="24"/>
          <w:szCs w:val="24"/>
        </w:rPr>
        <w:t>Deliver Interim 62 Day RTT standard – 70%</w:t>
      </w:r>
    </w:p>
    <w:p w14:paraId="43A5BC65" w14:textId="77777777" w:rsidR="004C3E6C" w:rsidRDefault="004C3E6C" w:rsidP="00E227F9">
      <w:pPr>
        <w:spacing w:after="0"/>
        <w:jc w:val="both"/>
        <w:rPr>
          <w:rFonts w:cs="Arial"/>
          <w:color w:val="000000" w:themeColor="text1"/>
          <w:sz w:val="24"/>
          <w:szCs w:val="24"/>
        </w:rPr>
      </w:pPr>
    </w:p>
    <w:p w14:paraId="78528179" w14:textId="194F0942" w:rsidR="00100583" w:rsidRDefault="00100583" w:rsidP="00E227F9">
      <w:pPr>
        <w:spacing w:after="0"/>
        <w:jc w:val="both"/>
        <w:rPr>
          <w:rFonts w:cs="Arial"/>
          <w:color w:val="000000" w:themeColor="text1"/>
          <w:sz w:val="24"/>
          <w:szCs w:val="24"/>
        </w:rPr>
      </w:pPr>
      <w:r>
        <w:rPr>
          <w:rFonts w:cs="Arial"/>
          <w:color w:val="000000" w:themeColor="text1"/>
          <w:sz w:val="24"/>
          <w:szCs w:val="24"/>
        </w:rPr>
        <w:t xml:space="preserve">The requirement was to deliver </w:t>
      </w:r>
      <w:proofErr w:type="gramStart"/>
      <w:r>
        <w:rPr>
          <w:rFonts w:cs="Arial"/>
          <w:color w:val="000000" w:themeColor="text1"/>
          <w:sz w:val="24"/>
          <w:szCs w:val="24"/>
        </w:rPr>
        <w:t>both of these</w:t>
      </w:r>
      <w:proofErr w:type="gramEnd"/>
      <w:r>
        <w:rPr>
          <w:rFonts w:cs="Arial"/>
          <w:color w:val="000000" w:themeColor="text1"/>
          <w:sz w:val="24"/>
          <w:szCs w:val="24"/>
        </w:rPr>
        <w:t xml:space="preserve"> targets in March 25.  The March 25 performance data was released 15.05.25.  GM delivered </w:t>
      </w:r>
      <w:proofErr w:type="gramStart"/>
      <w:r>
        <w:rPr>
          <w:rFonts w:cs="Arial"/>
          <w:color w:val="000000" w:themeColor="text1"/>
          <w:sz w:val="24"/>
          <w:szCs w:val="24"/>
        </w:rPr>
        <w:t>both of the planning</w:t>
      </w:r>
      <w:proofErr w:type="gramEnd"/>
      <w:r>
        <w:rPr>
          <w:rFonts w:cs="Arial"/>
          <w:color w:val="000000" w:themeColor="text1"/>
          <w:sz w:val="24"/>
          <w:szCs w:val="24"/>
        </w:rPr>
        <w:t xml:space="preserve"> requirements.  FDS was 80.27%, against the 77% requirement.  This compares favourably with the national average of 78.93% (and </w:t>
      </w:r>
      <w:r w:rsidR="00AA6054">
        <w:rPr>
          <w:rFonts w:cs="Arial"/>
          <w:color w:val="000000" w:themeColor="text1"/>
          <w:sz w:val="24"/>
          <w:szCs w:val="24"/>
        </w:rPr>
        <w:t>in fact</w:t>
      </w:r>
      <w:r>
        <w:rPr>
          <w:rFonts w:cs="Arial"/>
          <w:color w:val="000000" w:themeColor="text1"/>
          <w:sz w:val="24"/>
          <w:szCs w:val="24"/>
        </w:rPr>
        <w:t xml:space="preserve"> delivers the 25/26 requirement).  The 62 day performance was 71.63%, on par with the England average of 71.38%.</w:t>
      </w:r>
      <w:r w:rsidR="00FC2681">
        <w:rPr>
          <w:rFonts w:cs="Arial"/>
          <w:color w:val="000000" w:themeColor="text1"/>
          <w:sz w:val="24"/>
          <w:szCs w:val="24"/>
        </w:rPr>
        <w:t xml:space="preserve">  The breakdown by provider follows.  All but MFT achieved the requirements at Trust level.</w:t>
      </w:r>
    </w:p>
    <w:p w14:paraId="76098E84" w14:textId="77777777" w:rsidR="003D48E8" w:rsidRDefault="003D48E8" w:rsidP="00E227F9">
      <w:pPr>
        <w:spacing w:after="0"/>
        <w:jc w:val="both"/>
        <w:rPr>
          <w:rFonts w:cs="Arial"/>
          <w:color w:val="000000" w:themeColor="text1"/>
          <w:sz w:val="24"/>
          <w:szCs w:val="24"/>
        </w:rPr>
      </w:pPr>
    </w:p>
    <w:p w14:paraId="29CB4B05" w14:textId="65511DB7" w:rsidR="00FC2681" w:rsidRDefault="00FC2681" w:rsidP="00E227F9">
      <w:pPr>
        <w:spacing w:after="0"/>
        <w:jc w:val="both"/>
        <w:rPr>
          <w:rFonts w:cs="Arial"/>
          <w:color w:val="000000" w:themeColor="text1"/>
          <w:sz w:val="24"/>
          <w:szCs w:val="24"/>
        </w:rPr>
      </w:pPr>
      <w:r>
        <w:rPr>
          <w:noProof/>
        </w:rPr>
        <w:lastRenderedPageBreak/>
        <w:drawing>
          <wp:inline distT="0" distB="0" distL="0" distR="0" wp14:anchorId="73EDDFBA" wp14:editId="04F289B6">
            <wp:extent cx="6263640" cy="3776980"/>
            <wp:effectExtent l="0" t="0" r="0" b="0"/>
            <wp:docPr id="13200631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063178" name=""/>
                    <pic:cNvPicPr/>
                  </pic:nvPicPr>
                  <pic:blipFill>
                    <a:blip r:embed="rId8"/>
                    <a:stretch>
                      <a:fillRect/>
                    </a:stretch>
                  </pic:blipFill>
                  <pic:spPr>
                    <a:xfrm>
                      <a:off x="0" y="0"/>
                      <a:ext cx="6263640" cy="3776980"/>
                    </a:xfrm>
                    <a:prstGeom prst="rect">
                      <a:avLst/>
                    </a:prstGeom>
                  </pic:spPr>
                </pic:pic>
              </a:graphicData>
            </a:graphic>
          </wp:inline>
        </w:drawing>
      </w:r>
    </w:p>
    <w:p w14:paraId="57983FB5" w14:textId="02B9D224" w:rsidR="00FC2681" w:rsidRDefault="00FC2681" w:rsidP="00E227F9">
      <w:pPr>
        <w:spacing w:after="0"/>
        <w:jc w:val="both"/>
        <w:rPr>
          <w:rFonts w:cs="Arial"/>
          <w:color w:val="000000" w:themeColor="text1"/>
          <w:sz w:val="24"/>
          <w:szCs w:val="24"/>
        </w:rPr>
      </w:pPr>
      <w:r>
        <w:rPr>
          <w:noProof/>
        </w:rPr>
        <w:drawing>
          <wp:inline distT="0" distB="0" distL="0" distR="0" wp14:anchorId="2DBF687A" wp14:editId="0FBFF796">
            <wp:extent cx="6263640" cy="3771265"/>
            <wp:effectExtent l="0" t="0" r="0" b="0"/>
            <wp:docPr id="9155582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558263" name=""/>
                    <pic:cNvPicPr/>
                  </pic:nvPicPr>
                  <pic:blipFill>
                    <a:blip r:embed="rId9"/>
                    <a:stretch>
                      <a:fillRect/>
                    </a:stretch>
                  </pic:blipFill>
                  <pic:spPr>
                    <a:xfrm>
                      <a:off x="0" y="0"/>
                      <a:ext cx="6263640" cy="3771265"/>
                    </a:xfrm>
                    <a:prstGeom prst="rect">
                      <a:avLst/>
                    </a:prstGeom>
                  </pic:spPr>
                </pic:pic>
              </a:graphicData>
            </a:graphic>
          </wp:inline>
        </w:drawing>
      </w:r>
    </w:p>
    <w:p w14:paraId="7F304B3A" w14:textId="0576488A" w:rsidR="003D48E8" w:rsidRDefault="003D48E8" w:rsidP="00E227F9">
      <w:pPr>
        <w:spacing w:after="0"/>
        <w:jc w:val="both"/>
        <w:rPr>
          <w:rFonts w:cs="Arial"/>
          <w:color w:val="000000" w:themeColor="text1"/>
          <w:sz w:val="24"/>
          <w:szCs w:val="24"/>
        </w:rPr>
      </w:pPr>
      <w:r>
        <w:rPr>
          <w:rFonts w:cs="Arial"/>
          <w:color w:val="000000" w:themeColor="text1"/>
          <w:sz w:val="24"/>
          <w:szCs w:val="24"/>
        </w:rPr>
        <w:t>Moving on to 25/26, the requirements are as follows:</w:t>
      </w:r>
    </w:p>
    <w:p w14:paraId="18FB3B31" w14:textId="4F93656C" w:rsidR="003D48E8" w:rsidRDefault="003D48E8" w:rsidP="003D48E8">
      <w:pPr>
        <w:spacing w:line="240" w:lineRule="auto"/>
        <w:jc w:val="both"/>
        <w:rPr>
          <w:rFonts w:cs="Arial"/>
          <w:color w:val="000000" w:themeColor="text1"/>
          <w:sz w:val="24"/>
          <w:szCs w:val="24"/>
        </w:rPr>
      </w:pPr>
      <w:r>
        <w:rPr>
          <w:rFonts w:cs="Arial"/>
          <w:color w:val="000000" w:themeColor="text1"/>
          <w:sz w:val="24"/>
          <w:szCs w:val="24"/>
        </w:rPr>
        <w:t xml:space="preserve">Deliver FDS 28 day performance – </w:t>
      </w:r>
      <w:r>
        <w:rPr>
          <w:rFonts w:cs="Arial"/>
          <w:color w:val="000000" w:themeColor="text1"/>
          <w:sz w:val="24"/>
          <w:szCs w:val="24"/>
        </w:rPr>
        <w:t>80</w:t>
      </w:r>
      <w:r>
        <w:rPr>
          <w:rFonts w:cs="Arial"/>
          <w:color w:val="000000" w:themeColor="text1"/>
          <w:sz w:val="24"/>
          <w:szCs w:val="24"/>
        </w:rPr>
        <w:t>%</w:t>
      </w:r>
      <w:r>
        <w:rPr>
          <w:rFonts w:cs="Arial"/>
          <w:color w:val="000000" w:themeColor="text1"/>
          <w:sz w:val="24"/>
          <w:szCs w:val="24"/>
        </w:rPr>
        <w:t xml:space="preserve"> </w:t>
      </w:r>
    </w:p>
    <w:p w14:paraId="791A8118" w14:textId="6E50D923" w:rsidR="003D48E8" w:rsidRDefault="003D48E8" w:rsidP="003D48E8">
      <w:pPr>
        <w:spacing w:line="240" w:lineRule="auto"/>
        <w:jc w:val="both"/>
        <w:rPr>
          <w:rFonts w:cs="Arial"/>
          <w:color w:val="000000" w:themeColor="text1"/>
          <w:sz w:val="24"/>
          <w:szCs w:val="24"/>
        </w:rPr>
      </w:pPr>
      <w:r>
        <w:rPr>
          <w:rFonts w:cs="Arial"/>
          <w:color w:val="000000" w:themeColor="text1"/>
          <w:sz w:val="24"/>
          <w:szCs w:val="24"/>
        </w:rPr>
        <w:t>Deliver Interim 62 Day RTT standard – 7</w:t>
      </w:r>
      <w:r>
        <w:rPr>
          <w:rFonts w:cs="Arial"/>
          <w:color w:val="000000" w:themeColor="text1"/>
          <w:sz w:val="24"/>
          <w:szCs w:val="24"/>
        </w:rPr>
        <w:t>5</w:t>
      </w:r>
      <w:r>
        <w:rPr>
          <w:rFonts w:cs="Arial"/>
          <w:color w:val="000000" w:themeColor="text1"/>
          <w:sz w:val="24"/>
          <w:szCs w:val="24"/>
        </w:rPr>
        <w:t>%</w:t>
      </w:r>
    </w:p>
    <w:p w14:paraId="58248D9A" w14:textId="77777777" w:rsidR="003D48E8" w:rsidRDefault="003D48E8" w:rsidP="003D48E8">
      <w:pPr>
        <w:spacing w:line="240" w:lineRule="auto"/>
        <w:jc w:val="both"/>
        <w:rPr>
          <w:rFonts w:cs="Arial"/>
          <w:color w:val="000000" w:themeColor="text1"/>
          <w:sz w:val="24"/>
          <w:szCs w:val="24"/>
        </w:rPr>
      </w:pPr>
    </w:p>
    <w:p w14:paraId="340032DA" w14:textId="3280387B" w:rsidR="003D48E8" w:rsidRDefault="003D48E8" w:rsidP="003D48E8">
      <w:pPr>
        <w:spacing w:line="240" w:lineRule="auto"/>
        <w:jc w:val="both"/>
        <w:rPr>
          <w:rFonts w:cs="Arial"/>
          <w:color w:val="000000" w:themeColor="text1"/>
          <w:sz w:val="24"/>
          <w:szCs w:val="24"/>
        </w:rPr>
      </w:pPr>
      <w:r>
        <w:rPr>
          <w:rFonts w:cs="Arial"/>
          <w:color w:val="000000" w:themeColor="text1"/>
          <w:sz w:val="24"/>
          <w:szCs w:val="24"/>
        </w:rPr>
        <w:t>All provider Trusts have submitted compliant plans.   There are significant risks to delivery and significant pathway improvements required to deliver the level</w:t>
      </w:r>
      <w:r w:rsidR="00FC2681">
        <w:rPr>
          <w:rFonts w:cs="Arial"/>
          <w:color w:val="000000" w:themeColor="text1"/>
          <w:sz w:val="24"/>
          <w:szCs w:val="24"/>
        </w:rPr>
        <w:t xml:space="preserve">s required.  </w:t>
      </w:r>
    </w:p>
    <w:p w14:paraId="31FE48AE" w14:textId="5F39765E" w:rsidR="00FC2681" w:rsidRDefault="00FC2681" w:rsidP="003D48E8">
      <w:pPr>
        <w:spacing w:line="240" w:lineRule="auto"/>
        <w:jc w:val="both"/>
        <w:rPr>
          <w:rFonts w:cs="Arial"/>
          <w:color w:val="000000" w:themeColor="text1"/>
          <w:sz w:val="24"/>
          <w:szCs w:val="24"/>
        </w:rPr>
      </w:pPr>
      <w:r>
        <w:rPr>
          <w:rFonts w:cs="Arial"/>
          <w:color w:val="000000" w:themeColor="text1"/>
          <w:sz w:val="24"/>
          <w:szCs w:val="24"/>
        </w:rPr>
        <w:t xml:space="preserve">The improvement at system level from 24/25 to 25/26 was 2.07%; </w:t>
      </w:r>
      <w:r w:rsidR="00AA6054">
        <w:rPr>
          <w:rFonts w:cs="Arial"/>
          <w:color w:val="000000" w:themeColor="text1"/>
          <w:sz w:val="24"/>
          <w:szCs w:val="24"/>
        </w:rPr>
        <w:t>therefore,</w:t>
      </w:r>
      <w:r>
        <w:rPr>
          <w:rFonts w:cs="Arial"/>
          <w:color w:val="000000" w:themeColor="text1"/>
          <w:sz w:val="24"/>
          <w:szCs w:val="24"/>
        </w:rPr>
        <w:t xml:space="preserve"> a </w:t>
      </w:r>
      <w:r w:rsidR="00AA6054">
        <w:rPr>
          <w:rFonts w:cs="Arial"/>
          <w:color w:val="000000" w:themeColor="text1"/>
          <w:sz w:val="24"/>
          <w:szCs w:val="24"/>
        </w:rPr>
        <w:t>twofold</w:t>
      </w:r>
      <w:r>
        <w:rPr>
          <w:rFonts w:cs="Arial"/>
          <w:color w:val="000000" w:themeColor="text1"/>
          <w:sz w:val="24"/>
          <w:szCs w:val="24"/>
        </w:rPr>
        <w:t xml:space="preserve"> improvement is required in year at aggregate level.  Delivery levels of MFT were mitigated at system level by over performance in other Trusts, which is not forecasted this year.</w:t>
      </w:r>
    </w:p>
    <w:p w14:paraId="322A39E1" w14:textId="77777777" w:rsidR="003D48E8" w:rsidRDefault="003D48E8" w:rsidP="00E227F9">
      <w:pPr>
        <w:spacing w:after="0"/>
        <w:jc w:val="both"/>
        <w:rPr>
          <w:rFonts w:cs="Arial"/>
          <w:color w:val="000000" w:themeColor="text1"/>
          <w:sz w:val="24"/>
          <w:szCs w:val="24"/>
        </w:rPr>
      </w:pPr>
    </w:p>
    <w:p w14:paraId="2C784C76" w14:textId="77777777" w:rsidR="00100583" w:rsidRDefault="00100583" w:rsidP="00E227F9">
      <w:pPr>
        <w:spacing w:after="0"/>
        <w:jc w:val="both"/>
        <w:rPr>
          <w:rFonts w:cs="Arial"/>
          <w:color w:val="000000" w:themeColor="text1"/>
          <w:sz w:val="24"/>
          <w:szCs w:val="24"/>
        </w:rPr>
      </w:pPr>
    </w:p>
    <w:p w14:paraId="69B9B387" w14:textId="65C2FD04" w:rsidR="00785541" w:rsidRPr="00002F54" w:rsidRDefault="00785541" w:rsidP="00D00E75">
      <w:pPr>
        <w:pStyle w:val="ListParagraph"/>
        <w:numPr>
          <w:ilvl w:val="1"/>
          <w:numId w:val="4"/>
        </w:numPr>
        <w:spacing w:line="240" w:lineRule="auto"/>
        <w:rPr>
          <w:rFonts w:cs="Arial"/>
          <w:color w:val="000000" w:themeColor="text1"/>
          <w:sz w:val="24"/>
          <w:szCs w:val="24"/>
          <w:u w:val="single"/>
        </w:rPr>
      </w:pPr>
      <w:r w:rsidRPr="00002F54">
        <w:rPr>
          <w:rFonts w:cs="Arial"/>
          <w:color w:val="000000" w:themeColor="text1"/>
          <w:sz w:val="24"/>
          <w:szCs w:val="24"/>
          <w:u w:val="single"/>
        </w:rPr>
        <w:t>Performance Against the National Cancer Waiting Times Standards</w:t>
      </w:r>
    </w:p>
    <w:p w14:paraId="0D947FED" w14:textId="77777777" w:rsidR="00785541" w:rsidRPr="00002F54" w:rsidRDefault="00785541" w:rsidP="00511171">
      <w:pPr>
        <w:spacing w:line="240" w:lineRule="auto"/>
        <w:rPr>
          <w:rFonts w:cs="Arial"/>
          <w:color w:val="000000" w:themeColor="text1"/>
          <w:sz w:val="24"/>
          <w:szCs w:val="24"/>
          <w:u w:val="single"/>
        </w:rPr>
      </w:pPr>
    </w:p>
    <w:p w14:paraId="262EA97A" w14:textId="57D94AB6" w:rsidR="00785541" w:rsidRPr="00002F54" w:rsidRDefault="00785541" w:rsidP="00E227F9">
      <w:pPr>
        <w:spacing w:after="0"/>
        <w:jc w:val="both"/>
        <w:rPr>
          <w:rFonts w:cs="Arial"/>
          <w:color w:val="000000" w:themeColor="text1"/>
          <w:sz w:val="24"/>
        </w:rPr>
      </w:pPr>
      <w:r w:rsidRPr="00002F54">
        <w:rPr>
          <w:rFonts w:cs="Arial"/>
          <w:color w:val="000000" w:themeColor="text1"/>
          <w:sz w:val="24"/>
        </w:rPr>
        <w:t xml:space="preserve">There are now 3 main reportable standards – FDS, combined 62 day RTT, and combined 31 day DTT.  The ‘new’ performance metrics are shown below, highlighted, along with the ‘old’ metrics to enable visualisation of how the new standards are constructed. </w:t>
      </w:r>
    </w:p>
    <w:p w14:paraId="19262B54" w14:textId="4E90261B" w:rsidR="00D00E75" w:rsidRPr="00002F54" w:rsidRDefault="004731A2" w:rsidP="00E227F9">
      <w:pPr>
        <w:spacing w:after="0"/>
        <w:jc w:val="both"/>
        <w:rPr>
          <w:rFonts w:cs="Arial"/>
          <w:color w:val="000000" w:themeColor="text1"/>
          <w:sz w:val="24"/>
        </w:rPr>
      </w:pPr>
      <w:r w:rsidRPr="00002F54">
        <w:rPr>
          <w:rFonts w:cs="Arial"/>
          <w:color w:val="000000" w:themeColor="text1"/>
          <w:sz w:val="24"/>
        </w:rPr>
        <w:t xml:space="preserve">There remains significant variation between performance at </w:t>
      </w:r>
      <w:r w:rsidR="00002F54" w:rsidRPr="00002F54">
        <w:rPr>
          <w:rFonts w:cs="Arial"/>
          <w:color w:val="000000" w:themeColor="text1"/>
          <w:sz w:val="24"/>
        </w:rPr>
        <w:t>organisational</w:t>
      </w:r>
      <w:r w:rsidRPr="00002F54">
        <w:rPr>
          <w:rFonts w:cs="Arial"/>
          <w:color w:val="000000" w:themeColor="text1"/>
          <w:sz w:val="24"/>
        </w:rPr>
        <w:t xml:space="preserve"> level.  </w:t>
      </w:r>
    </w:p>
    <w:p w14:paraId="4A936486" w14:textId="77777777" w:rsidR="004731A2" w:rsidRDefault="004731A2" w:rsidP="00785541">
      <w:pPr>
        <w:spacing w:line="240" w:lineRule="auto"/>
        <w:jc w:val="both"/>
        <w:rPr>
          <w:rFonts w:cs="Arial"/>
          <w:color w:val="000000" w:themeColor="text1"/>
          <w:sz w:val="24"/>
        </w:rPr>
      </w:pPr>
    </w:p>
    <w:p w14:paraId="41ADFBBB" w14:textId="6C52C4D2" w:rsidR="003E0187" w:rsidRDefault="00FC2681" w:rsidP="00785541">
      <w:pPr>
        <w:spacing w:line="240" w:lineRule="auto"/>
        <w:jc w:val="both"/>
        <w:rPr>
          <w:rFonts w:cs="Arial"/>
          <w:color w:val="000000" w:themeColor="text1"/>
          <w:sz w:val="24"/>
        </w:rPr>
      </w:pPr>
      <w:r>
        <w:pict w14:anchorId="3570830F">
          <v:rect id="Rectangle 19" o:spid="_x0000_s2055" style="position:absolute;left:0;text-align:left;margin-left:146.95pt;margin-top:26.9pt;width:42pt;height:256pt;z-index:251662336;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" filled="f" strokecolor="#1f3763 [1604]" strokeweight="1.5pt"/>
        </w:pict>
      </w:r>
      <w:r>
        <w:pict w14:anchorId="450EFD10">
          <v:rect id="Rectangle 18" o:spid="_x0000_s2054" style="position:absolute;left:0;text-align:left;margin-left:60.45pt;margin-top:26.9pt;width:42pt;height:256pt;z-index:25166131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" filled="f" strokecolor="#1f3763 [1604]" strokeweight="1.5pt"/>
        </w:pict>
      </w:r>
      <w:r>
        <w:pict w14:anchorId="22F495BF">
          <v:rect id="Rectangle 20" o:spid="_x0000_s2056" style="position:absolute;left:0;text-align:left;margin-left:362.95pt;margin-top:27.4pt;width:41pt;height:255pt;z-index:25166336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" filled="f" strokecolor="#1f3763 [1604]" strokeweight="1.5pt"/>
        </w:pict>
      </w:r>
      <w:r>
        <w:rPr>
          <w:noProof/>
        </w:rPr>
        <w:drawing>
          <wp:inline distT="0" distB="0" distL="0" distR="0" wp14:anchorId="6D7C64AB" wp14:editId="5A0002E8">
            <wp:extent cx="6263640" cy="3679190"/>
            <wp:effectExtent l="0" t="0" r="0" b="0"/>
            <wp:docPr id="21044126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412611" name=""/>
                    <pic:cNvPicPr/>
                  </pic:nvPicPr>
                  <pic:blipFill>
                    <a:blip r:embed="rId10"/>
                    <a:stretch>
                      <a:fillRect/>
                    </a:stretch>
                  </pic:blipFill>
                  <pic:spPr>
                    <a:xfrm>
                      <a:off x="0" y="0"/>
                      <a:ext cx="6263640" cy="3679190"/>
                    </a:xfrm>
                    <a:prstGeom prst="rect">
                      <a:avLst/>
                    </a:prstGeom>
                  </pic:spPr>
                </pic:pic>
              </a:graphicData>
            </a:graphic>
          </wp:inline>
        </w:drawing>
      </w:r>
    </w:p>
    <w:p w14:paraId="6962C360" w14:textId="77777777" w:rsidR="00852AB8" w:rsidRPr="00002F54" w:rsidRDefault="00852AB8" w:rsidP="00785541">
      <w:pPr>
        <w:spacing w:line="240" w:lineRule="auto"/>
        <w:jc w:val="both"/>
        <w:rPr>
          <w:rFonts w:cs="Arial"/>
          <w:color w:val="000000" w:themeColor="text1"/>
          <w:sz w:val="24"/>
        </w:rPr>
      </w:pPr>
    </w:p>
    <w:p w14:paraId="7E593ED4" w14:textId="77777777" w:rsidR="00100583" w:rsidRDefault="00100583" w:rsidP="00785541">
      <w:pPr>
        <w:spacing w:line="240" w:lineRule="auto"/>
        <w:jc w:val="both"/>
        <w:rPr>
          <w:rFonts w:cs="Arial"/>
          <w:color w:val="000000" w:themeColor="text1"/>
          <w:sz w:val="24"/>
        </w:rPr>
      </w:pPr>
    </w:p>
    <w:p w14:paraId="753E19D1" w14:textId="77777777" w:rsidR="00100583" w:rsidRDefault="00100583" w:rsidP="00785541">
      <w:pPr>
        <w:spacing w:line="240" w:lineRule="auto"/>
        <w:jc w:val="both"/>
        <w:rPr>
          <w:rFonts w:cs="Arial"/>
          <w:color w:val="000000" w:themeColor="text1"/>
          <w:sz w:val="24"/>
        </w:rPr>
      </w:pPr>
    </w:p>
    <w:p w14:paraId="5218AF96" w14:textId="4AA4108A" w:rsidR="004731A2" w:rsidRPr="00002F54" w:rsidRDefault="004731A2" w:rsidP="00785541">
      <w:pPr>
        <w:spacing w:line="240" w:lineRule="auto"/>
        <w:jc w:val="both"/>
        <w:rPr>
          <w:rFonts w:cs="Arial"/>
          <w:color w:val="000000" w:themeColor="text1"/>
          <w:sz w:val="24"/>
        </w:rPr>
      </w:pPr>
      <w:r w:rsidRPr="00002F54">
        <w:rPr>
          <w:rFonts w:cs="Arial"/>
          <w:color w:val="000000" w:themeColor="text1"/>
          <w:sz w:val="24"/>
        </w:rPr>
        <w:lastRenderedPageBreak/>
        <w:t xml:space="preserve">Performance at tumour site level can be visualised </w:t>
      </w:r>
      <w:r w:rsidR="009B79B6">
        <w:rPr>
          <w:rFonts w:cs="Arial"/>
          <w:color w:val="000000" w:themeColor="text1"/>
          <w:sz w:val="24"/>
        </w:rPr>
        <w:t>below</w:t>
      </w:r>
      <w:r w:rsidRPr="00002F54">
        <w:rPr>
          <w:rFonts w:cs="Arial"/>
          <w:color w:val="000000" w:themeColor="text1"/>
          <w:sz w:val="24"/>
        </w:rPr>
        <w:t>.</w:t>
      </w:r>
    </w:p>
    <w:p w14:paraId="25288C0B" w14:textId="3364415F" w:rsidR="003E0187" w:rsidRDefault="00FC2681" w:rsidP="00785541">
      <w:pPr>
        <w:spacing w:line="240" w:lineRule="auto"/>
        <w:jc w:val="both"/>
        <w:rPr>
          <w:noProof/>
        </w:rPr>
      </w:pPr>
      <w:r>
        <w:pict w14:anchorId="0CE893AD">
          <v:rect id="Rectangle 22" o:spid="_x0000_s2052" style="position:absolute;left:0;text-align:left;margin-left:368.45pt;margin-top:38.45pt;width:39.5pt;height:257.6pt;z-index:25166438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" filled="f" strokecolor="#1f3763 [1604]" strokeweight="1.5pt"/>
        </w:pict>
      </w:r>
      <w:r>
        <w:pict w14:anchorId="3DE84961">
          <v:rect id="Rectangle 24" o:spid="_x0000_s2053" style="position:absolute;left:0;text-align:left;margin-left:176.45pt;margin-top:37.95pt;width:41pt;height:257.05pt;z-index:25166643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" filled="f" strokecolor="#1f3763 [1604]" strokeweight="1.5pt"/>
        </w:pict>
      </w:r>
      <w:r>
        <w:pict w14:anchorId="657120F6">
          <v:rect id="Rectangle 23" o:spid="_x0000_s2051" style="position:absolute;left:0;text-align:left;margin-left:100.95pt;margin-top:37.95pt;width:41pt;height:257.05pt;z-index:25166540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" filled="f" strokecolor="#1f3763 [1604]" strokeweight="1.5pt"/>
        </w:pict>
      </w:r>
      <w:r w:rsidR="001C4168" w:rsidRPr="001C4168">
        <w:rPr>
          <w:noProof/>
        </w:rPr>
        <w:t xml:space="preserve"> </w:t>
      </w:r>
      <w:r>
        <w:rPr>
          <w:noProof/>
        </w:rPr>
        <w:drawing>
          <wp:inline distT="0" distB="0" distL="0" distR="0" wp14:anchorId="35D61FE6" wp14:editId="1C28BCE1">
            <wp:extent cx="6263640" cy="3663315"/>
            <wp:effectExtent l="0" t="0" r="0" b="0"/>
            <wp:docPr id="19307284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728466" name=""/>
                    <pic:cNvPicPr/>
                  </pic:nvPicPr>
                  <pic:blipFill>
                    <a:blip r:embed="rId11"/>
                    <a:stretch>
                      <a:fillRect/>
                    </a:stretch>
                  </pic:blipFill>
                  <pic:spPr>
                    <a:xfrm>
                      <a:off x="0" y="0"/>
                      <a:ext cx="6263640" cy="3663315"/>
                    </a:xfrm>
                    <a:prstGeom prst="rect">
                      <a:avLst/>
                    </a:prstGeom>
                  </pic:spPr>
                </pic:pic>
              </a:graphicData>
            </a:graphic>
          </wp:inline>
        </w:drawing>
      </w:r>
    </w:p>
    <w:p w14:paraId="35861B0A" w14:textId="77777777" w:rsidR="00100583" w:rsidRDefault="00100583" w:rsidP="00785541">
      <w:pPr>
        <w:spacing w:line="240" w:lineRule="auto"/>
        <w:jc w:val="both"/>
        <w:rPr>
          <w:noProof/>
        </w:rPr>
      </w:pPr>
    </w:p>
    <w:p w14:paraId="7CB42D17" w14:textId="77777777" w:rsidR="00BD14A3" w:rsidRDefault="00BD14A3" w:rsidP="00785541">
      <w:pPr>
        <w:spacing w:line="240" w:lineRule="auto"/>
        <w:jc w:val="both"/>
        <w:rPr>
          <w:noProof/>
        </w:rPr>
      </w:pPr>
    </w:p>
    <w:p w14:paraId="5A64CD40" w14:textId="6979742C" w:rsidR="00852AB8" w:rsidRPr="00002F54" w:rsidRDefault="00852AB8" w:rsidP="00E227F9">
      <w:pPr>
        <w:spacing w:after="0"/>
        <w:jc w:val="both"/>
        <w:rPr>
          <w:rFonts w:cs="Arial"/>
          <w:color w:val="000000" w:themeColor="text1"/>
          <w:sz w:val="24"/>
        </w:rPr>
      </w:pPr>
      <w:r w:rsidRPr="00002F54">
        <w:rPr>
          <w:rFonts w:cs="Arial"/>
          <w:color w:val="000000" w:themeColor="text1"/>
          <w:sz w:val="24"/>
        </w:rPr>
        <w:t xml:space="preserve">Drawing attention to the treatment aspect of the pathway; it is evident there </w:t>
      </w:r>
      <w:r>
        <w:rPr>
          <w:rFonts w:cs="Arial"/>
          <w:color w:val="000000" w:themeColor="text1"/>
          <w:sz w:val="24"/>
        </w:rPr>
        <w:t xml:space="preserve">remains </w:t>
      </w:r>
      <w:r w:rsidRPr="00002F54">
        <w:rPr>
          <w:rFonts w:cs="Arial"/>
          <w:color w:val="000000" w:themeColor="text1"/>
          <w:sz w:val="24"/>
        </w:rPr>
        <w:t xml:space="preserve">key challenges with the surgical pathway, both for first treatment (62 day pathways) and subsequent surgery.  Whilst the challenge is evident in the disaggregated data, overall performance on 31 DTT </w:t>
      </w:r>
      <w:r w:rsidR="000465B0">
        <w:rPr>
          <w:rFonts w:cs="Arial"/>
          <w:color w:val="000000" w:themeColor="text1"/>
          <w:sz w:val="24"/>
        </w:rPr>
        <w:t xml:space="preserve">has improved, and </w:t>
      </w:r>
      <w:r w:rsidRPr="00002F54">
        <w:rPr>
          <w:rFonts w:cs="Arial"/>
          <w:color w:val="000000" w:themeColor="text1"/>
          <w:sz w:val="24"/>
        </w:rPr>
        <w:t xml:space="preserve">does not look far from the target, but this is heavily compensated given the volume of radiotherapy delivered.  Viewing this metric in isolation can </w:t>
      </w:r>
      <w:r w:rsidR="000465B0">
        <w:rPr>
          <w:rFonts w:cs="Arial"/>
          <w:color w:val="000000" w:themeColor="text1"/>
          <w:sz w:val="24"/>
        </w:rPr>
        <w:t xml:space="preserve">therefore </w:t>
      </w:r>
      <w:r>
        <w:rPr>
          <w:rFonts w:cs="Arial"/>
          <w:color w:val="000000" w:themeColor="text1"/>
          <w:sz w:val="24"/>
        </w:rPr>
        <w:t>be misleading</w:t>
      </w:r>
      <w:r w:rsidRPr="00002F54">
        <w:rPr>
          <w:rFonts w:cs="Arial"/>
          <w:color w:val="000000" w:themeColor="text1"/>
          <w:sz w:val="24"/>
        </w:rPr>
        <w:t>.</w:t>
      </w:r>
      <w:r>
        <w:rPr>
          <w:rFonts w:cs="Arial"/>
          <w:color w:val="000000" w:themeColor="text1"/>
          <w:sz w:val="24"/>
        </w:rPr>
        <w:t xml:space="preserve">  </w:t>
      </w:r>
      <w:r w:rsidR="000465B0">
        <w:rPr>
          <w:rFonts w:cs="Arial"/>
          <w:color w:val="000000" w:themeColor="text1"/>
          <w:sz w:val="24"/>
        </w:rPr>
        <w:t>T</w:t>
      </w:r>
      <w:r w:rsidR="00F46434">
        <w:rPr>
          <w:rFonts w:cs="Arial"/>
          <w:color w:val="000000" w:themeColor="text1"/>
          <w:sz w:val="24"/>
        </w:rPr>
        <w:t>he main driver to performance remains capacity and the volume of surgery being delivered in comparison to the required volume.</w:t>
      </w:r>
    </w:p>
    <w:p w14:paraId="5523D30F" w14:textId="77777777" w:rsidR="00852AB8" w:rsidRDefault="00852AB8" w:rsidP="00E227F9">
      <w:pPr>
        <w:spacing w:after="0"/>
        <w:jc w:val="both"/>
        <w:rPr>
          <w:rFonts w:cs="Arial"/>
          <w:color w:val="000000" w:themeColor="text1"/>
          <w:sz w:val="24"/>
        </w:rPr>
      </w:pPr>
    </w:p>
    <w:p w14:paraId="6BD3A337" w14:textId="4D04F425" w:rsidR="00785541" w:rsidRPr="00002F54" w:rsidRDefault="00785541" w:rsidP="00E227F9">
      <w:pPr>
        <w:spacing w:after="0"/>
        <w:jc w:val="both"/>
        <w:rPr>
          <w:rFonts w:cs="Arial"/>
          <w:color w:val="000000" w:themeColor="text1"/>
          <w:sz w:val="24"/>
        </w:rPr>
      </w:pPr>
      <w:r w:rsidRPr="00002F54">
        <w:rPr>
          <w:rFonts w:cs="Arial"/>
          <w:color w:val="000000" w:themeColor="text1"/>
          <w:sz w:val="24"/>
        </w:rPr>
        <w:t xml:space="preserve">Performance trends by tumour site and provider, along with the variation in metrics can be found in Appendix </w:t>
      </w:r>
      <w:r w:rsidR="000465B0">
        <w:rPr>
          <w:rFonts w:cs="Arial"/>
          <w:color w:val="000000" w:themeColor="text1"/>
          <w:sz w:val="24"/>
        </w:rPr>
        <w:t>1</w:t>
      </w:r>
      <w:r w:rsidRPr="00002F54">
        <w:rPr>
          <w:rFonts w:cs="Arial"/>
          <w:color w:val="000000" w:themeColor="text1"/>
          <w:sz w:val="24"/>
        </w:rPr>
        <w:t>.</w:t>
      </w:r>
      <w:r w:rsidR="004731A2" w:rsidRPr="00002F54">
        <w:rPr>
          <w:rFonts w:cs="Arial"/>
          <w:color w:val="000000" w:themeColor="text1"/>
          <w:sz w:val="24"/>
        </w:rPr>
        <w:t xml:space="preserve">  Again, there remains variation between tumour site; not all of this can be explained through pathway complexity.</w:t>
      </w:r>
      <w:r w:rsidR="00F46434">
        <w:rPr>
          <w:rFonts w:cs="Arial"/>
          <w:color w:val="000000" w:themeColor="text1"/>
          <w:sz w:val="24"/>
        </w:rPr>
        <w:t xml:space="preserve"> </w:t>
      </w:r>
    </w:p>
    <w:p w14:paraId="312976AF" w14:textId="77777777" w:rsidR="00785541" w:rsidRPr="00002F54" w:rsidRDefault="00785541" w:rsidP="00E227F9">
      <w:pPr>
        <w:spacing w:after="0"/>
        <w:jc w:val="both"/>
        <w:rPr>
          <w:rFonts w:cs="Arial"/>
          <w:color w:val="000000" w:themeColor="text1"/>
          <w:sz w:val="24"/>
        </w:rPr>
      </w:pPr>
    </w:p>
    <w:p w14:paraId="6B6133AC" w14:textId="15408BF7" w:rsidR="00CA61B3" w:rsidRPr="00002F54" w:rsidRDefault="00785541" w:rsidP="00E227F9">
      <w:pPr>
        <w:spacing w:after="0"/>
        <w:jc w:val="both"/>
        <w:rPr>
          <w:rFonts w:cs="Arial"/>
          <w:color w:val="000000" w:themeColor="text1"/>
          <w:sz w:val="24"/>
        </w:rPr>
      </w:pPr>
      <w:r w:rsidRPr="00002F54">
        <w:rPr>
          <w:rFonts w:cs="Arial"/>
          <w:color w:val="000000" w:themeColor="text1"/>
          <w:sz w:val="24"/>
        </w:rPr>
        <w:lastRenderedPageBreak/>
        <w:t>Benchmarking against other Cancer Alliances for FDS</w:t>
      </w:r>
      <w:r w:rsidR="00BF6483">
        <w:rPr>
          <w:rFonts w:cs="Arial"/>
          <w:color w:val="000000" w:themeColor="text1"/>
          <w:sz w:val="24"/>
        </w:rPr>
        <w:t>,</w:t>
      </w:r>
      <w:r w:rsidRPr="00002F54">
        <w:rPr>
          <w:rFonts w:cs="Arial"/>
          <w:color w:val="000000" w:themeColor="text1"/>
          <w:sz w:val="24"/>
        </w:rPr>
        <w:t xml:space="preserve"> 62 day RTT </w:t>
      </w:r>
      <w:r w:rsidR="00BF6483">
        <w:rPr>
          <w:rFonts w:cs="Arial"/>
          <w:color w:val="000000" w:themeColor="text1"/>
          <w:sz w:val="24"/>
        </w:rPr>
        <w:t xml:space="preserve">and 31 DTT </w:t>
      </w:r>
      <w:r w:rsidRPr="00002F54">
        <w:rPr>
          <w:rFonts w:cs="Arial"/>
          <w:color w:val="000000" w:themeColor="text1"/>
          <w:sz w:val="24"/>
        </w:rPr>
        <w:t>can be visualised below.  This is reported</w:t>
      </w:r>
      <w:r w:rsidR="001462B8">
        <w:rPr>
          <w:rFonts w:cs="Arial"/>
          <w:color w:val="000000" w:themeColor="text1"/>
          <w:sz w:val="24"/>
        </w:rPr>
        <w:t xml:space="preserve"> by ICB (and so is marginally different compared to the Trust summaries given)</w:t>
      </w:r>
      <w:r w:rsidRPr="00002F54">
        <w:rPr>
          <w:rFonts w:cs="Arial"/>
          <w:color w:val="000000" w:themeColor="text1"/>
          <w:sz w:val="24"/>
        </w:rPr>
        <w:t xml:space="preserve"> for the </w:t>
      </w:r>
      <w:r w:rsidR="009765C0">
        <w:rPr>
          <w:rFonts w:cs="Arial"/>
          <w:color w:val="000000" w:themeColor="text1"/>
          <w:sz w:val="24"/>
        </w:rPr>
        <w:t xml:space="preserve">latest </w:t>
      </w:r>
      <w:r w:rsidR="00F46434">
        <w:rPr>
          <w:rFonts w:cs="Arial"/>
          <w:color w:val="000000" w:themeColor="text1"/>
          <w:sz w:val="24"/>
        </w:rPr>
        <w:t>quarter overall,</w:t>
      </w:r>
      <w:r w:rsidRPr="00002F54">
        <w:rPr>
          <w:rFonts w:cs="Arial"/>
          <w:color w:val="000000" w:themeColor="text1"/>
          <w:sz w:val="24"/>
        </w:rPr>
        <w:t xml:space="preserve"> </w:t>
      </w:r>
      <w:proofErr w:type="gramStart"/>
      <w:r w:rsidRPr="00002F54">
        <w:rPr>
          <w:rFonts w:cs="Arial"/>
          <w:color w:val="000000" w:themeColor="text1"/>
          <w:sz w:val="24"/>
        </w:rPr>
        <w:t>and also</w:t>
      </w:r>
      <w:proofErr w:type="gramEnd"/>
      <w:r w:rsidRPr="00002F54">
        <w:rPr>
          <w:rFonts w:cs="Arial"/>
          <w:color w:val="000000" w:themeColor="text1"/>
          <w:sz w:val="24"/>
        </w:rPr>
        <w:t xml:space="preserve"> shows the England average.</w:t>
      </w:r>
    </w:p>
    <w:p w14:paraId="165C1285" w14:textId="52171917" w:rsidR="00785541" w:rsidRPr="00002F54" w:rsidRDefault="00785541" w:rsidP="00785541">
      <w:pPr>
        <w:spacing w:line="240" w:lineRule="auto"/>
        <w:rPr>
          <w:rFonts w:cs="Arial"/>
          <w:color w:val="000000" w:themeColor="text1"/>
          <w:sz w:val="24"/>
        </w:rPr>
      </w:pPr>
    </w:p>
    <w:p w14:paraId="2EE9998F" w14:textId="3BC8839B" w:rsidR="00785541" w:rsidRDefault="00BD14A3" w:rsidP="00511171">
      <w:pPr>
        <w:spacing w:line="240" w:lineRule="auto"/>
        <w:rPr>
          <w:rFonts w:cs="Arial"/>
          <w:color w:val="000000" w:themeColor="text1"/>
          <w:sz w:val="24"/>
          <w:szCs w:val="24"/>
          <w:u w:val="single"/>
        </w:rPr>
      </w:pPr>
      <w:r>
        <w:rPr>
          <w:noProof/>
        </w:rPr>
        <w:drawing>
          <wp:inline distT="0" distB="0" distL="0" distR="0" wp14:anchorId="166D95CC" wp14:editId="33D410C3">
            <wp:extent cx="5410200" cy="3293618"/>
            <wp:effectExtent l="0" t="0" r="0" b="0"/>
            <wp:docPr id="14407003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700310" name=""/>
                    <pic:cNvPicPr/>
                  </pic:nvPicPr>
                  <pic:blipFill>
                    <a:blip r:embed="rId12"/>
                    <a:stretch>
                      <a:fillRect/>
                    </a:stretch>
                  </pic:blipFill>
                  <pic:spPr>
                    <a:xfrm>
                      <a:off x="0" y="0"/>
                      <a:ext cx="5431331" cy="3306482"/>
                    </a:xfrm>
                    <a:prstGeom prst="rect">
                      <a:avLst/>
                    </a:prstGeom>
                  </pic:spPr>
                </pic:pic>
              </a:graphicData>
            </a:graphic>
          </wp:inline>
        </w:drawing>
      </w:r>
    </w:p>
    <w:p w14:paraId="30F8E8E6" w14:textId="77777777" w:rsidR="00BD14A3" w:rsidRDefault="00BD14A3" w:rsidP="00511171">
      <w:pPr>
        <w:spacing w:line="240" w:lineRule="auto"/>
        <w:rPr>
          <w:rFonts w:cs="Arial"/>
          <w:color w:val="000000" w:themeColor="text1"/>
          <w:sz w:val="24"/>
          <w:szCs w:val="24"/>
          <w:u w:val="single"/>
        </w:rPr>
      </w:pPr>
    </w:p>
    <w:p w14:paraId="510E1D98" w14:textId="43053DA2" w:rsidR="00BD14A3" w:rsidRDefault="00BD14A3" w:rsidP="00511171">
      <w:pPr>
        <w:spacing w:line="240" w:lineRule="auto"/>
        <w:rPr>
          <w:rFonts w:cs="Arial"/>
          <w:color w:val="000000" w:themeColor="text1"/>
          <w:sz w:val="24"/>
          <w:szCs w:val="24"/>
          <w:u w:val="single"/>
        </w:rPr>
      </w:pPr>
      <w:r>
        <w:rPr>
          <w:noProof/>
        </w:rPr>
        <w:drawing>
          <wp:inline distT="0" distB="0" distL="0" distR="0" wp14:anchorId="3B1A5647" wp14:editId="53D057CC">
            <wp:extent cx="5403850" cy="3100070"/>
            <wp:effectExtent l="0" t="0" r="0" b="0"/>
            <wp:docPr id="3536480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648084" name=""/>
                    <pic:cNvPicPr/>
                  </pic:nvPicPr>
                  <pic:blipFill>
                    <a:blip r:embed="rId13"/>
                    <a:stretch>
                      <a:fillRect/>
                    </a:stretch>
                  </pic:blipFill>
                  <pic:spPr>
                    <a:xfrm>
                      <a:off x="0" y="0"/>
                      <a:ext cx="5415356" cy="3106671"/>
                    </a:xfrm>
                    <a:prstGeom prst="rect">
                      <a:avLst/>
                    </a:prstGeom>
                  </pic:spPr>
                </pic:pic>
              </a:graphicData>
            </a:graphic>
          </wp:inline>
        </w:drawing>
      </w:r>
    </w:p>
    <w:p w14:paraId="0E63DAFA" w14:textId="52D3EE6E" w:rsidR="00BD14A3" w:rsidRPr="00002F54" w:rsidRDefault="00BD14A3" w:rsidP="00511171">
      <w:pPr>
        <w:spacing w:line="240" w:lineRule="auto"/>
        <w:rPr>
          <w:rFonts w:cs="Arial"/>
          <w:color w:val="000000" w:themeColor="text1"/>
          <w:sz w:val="24"/>
          <w:szCs w:val="24"/>
          <w:u w:val="single"/>
        </w:rPr>
      </w:pPr>
      <w:r>
        <w:rPr>
          <w:noProof/>
        </w:rPr>
        <w:lastRenderedPageBreak/>
        <w:drawing>
          <wp:inline distT="0" distB="0" distL="0" distR="0" wp14:anchorId="276ECFA0" wp14:editId="12C6E71F">
            <wp:extent cx="5321300" cy="3270787"/>
            <wp:effectExtent l="0" t="0" r="0" b="0"/>
            <wp:docPr id="4362796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279666" name=""/>
                    <pic:cNvPicPr/>
                  </pic:nvPicPr>
                  <pic:blipFill>
                    <a:blip r:embed="rId14"/>
                    <a:stretch>
                      <a:fillRect/>
                    </a:stretch>
                  </pic:blipFill>
                  <pic:spPr>
                    <a:xfrm>
                      <a:off x="0" y="0"/>
                      <a:ext cx="5336334" cy="3280028"/>
                    </a:xfrm>
                    <a:prstGeom prst="rect">
                      <a:avLst/>
                    </a:prstGeom>
                  </pic:spPr>
                </pic:pic>
              </a:graphicData>
            </a:graphic>
          </wp:inline>
        </w:drawing>
      </w:r>
    </w:p>
    <w:p w14:paraId="5C5765BA" w14:textId="64213B94" w:rsidR="00CA61B3" w:rsidRPr="00002F54" w:rsidRDefault="00CA61B3" w:rsidP="00511171">
      <w:pPr>
        <w:spacing w:line="240" w:lineRule="auto"/>
        <w:rPr>
          <w:rFonts w:cs="Arial"/>
          <w:color w:val="000000" w:themeColor="text1"/>
          <w:sz w:val="24"/>
          <w:szCs w:val="24"/>
          <w:u w:val="single"/>
        </w:rPr>
      </w:pPr>
    </w:p>
    <w:p w14:paraId="3F945EE3" w14:textId="77777777" w:rsidR="00522D7F" w:rsidRPr="00002F54" w:rsidRDefault="00522D7F" w:rsidP="00511171">
      <w:pPr>
        <w:spacing w:line="240" w:lineRule="auto"/>
        <w:rPr>
          <w:rFonts w:cs="Arial"/>
          <w:color w:val="000000" w:themeColor="text1"/>
          <w:sz w:val="24"/>
          <w:szCs w:val="24"/>
          <w:u w:val="single"/>
        </w:rPr>
      </w:pPr>
    </w:p>
    <w:p w14:paraId="7057C493" w14:textId="31EE89B8" w:rsidR="00511171" w:rsidRPr="00002F54" w:rsidRDefault="00511171" w:rsidP="00511171">
      <w:pPr>
        <w:spacing w:line="240" w:lineRule="auto"/>
        <w:rPr>
          <w:rFonts w:cs="Arial"/>
          <w:color w:val="000000" w:themeColor="text1"/>
          <w:sz w:val="24"/>
          <w:u w:val="single"/>
        </w:rPr>
      </w:pPr>
      <w:r w:rsidRPr="004647D4">
        <w:rPr>
          <w:rFonts w:cs="Arial"/>
          <w:color w:val="000000" w:themeColor="text1"/>
          <w:sz w:val="24"/>
          <w:szCs w:val="24"/>
          <w:u w:val="single"/>
        </w:rPr>
        <w:t>2.</w:t>
      </w:r>
      <w:r w:rsidR="00785541" w:rsidRPr="004647D4">
        <w:rPr>
          <w:rFonts w:cs="Arial"/>
          <w:color w:val="000000" w:themeColor="text1"/>
          <w:sz w:val="24"/>
          <w:szCs w:val="24"/>
          <w:u w:val="single"/>
        </w:rPr>
        <w:t>3</w:t>
      </w:r>
      <w:r w:rsidRPr="004647D4">
        <w:rPr>
          <w:rFonts w:cs="Arial"/>
          <w:color w:val="000000" w:themeColor="text1"/>
          <w:sz w:val="24"/>
          <w:szCs w:val="24"/>
          <w:u w:val="single"/>
        </w:rPr>
        <w:t xml:space="preserve"> Underpinning Pathway Data</w:t>
      </w:r>
    </w:p>
    <w:p w14:paraId="721D341C" w14:textId="77777777" w:rsidR="008566A7" w:rsidRPr="00002F54" w:rsidRDefault="008566A7" w:rsidP="00511171">
      <w:pPr>
        <w:spacing w:line="240" w:lineRule="auto"/>
        <w:rPr>
          <w:rFonts w:cs="Arial"/>
          <w:color w:val="000000" w:themeColor="text1"/>
          <w:sz w:val="24"/>
        </w:rPr>
      </w:pPr>
    </w:p>
    <w:p w14:paraId="656507FC" w14:textId="33954008" w:rsidR="008566A7" w:rsidRPr="00002F54" w:rsidRDefault="008566A7" w:rsidP="008566A7">
      <w:pPr>
        <w:spacing w:after="0"/>
        <w:ind w:left="57" w:right="57"/>
        <w:jc w:val="both"/>
        <w:rPr>
          <w:rFonts w:cs="Arial"/>
          <w:sz w:val="24"/>
          <w:szCs w:val="24"/>
        </w:rPr>
      </w:pPr>
      <w:r w:rsidRPr="00002F54">
        <w:rPr>
          <w:rFonts w:cs="Arial"/>
          <w:sz w:val="24"/>
          <w:szCs w:val="24"/>
        </w:rPr>
        <w:t xml:space="preserve">As previously reported, the current performance targets for FDS do not directly correlate with 62 day performance.  </w:t>
      </w:r>
      <w:r w:rsidR="00697609">
        <w:rPr>
          <w:rFonts w:cs="Arial"/>
          <w:sz w:val="24"/>
          <w:szCs w:val="24"/>
        </w:rPr>
        <w:t xml:space="preserve">The GM target is 83% overall (with small </w:t>
      </w:r>
      <w:r w:rsidR="007B5609">
        <w:rPr>
          <w:rFonts w:cs="Arial"/>
          <w:sz w:val="24"/>
          <w:szCs w:val="24"/>
        </w:rPr>
        <w:t>differences</w:t>
      </w:r>
      <w:r w:rsidR="00697609">
        <w:rPr>
          <w:rFonts w:cs="Arial"/>
          <w:sz w:val="24"/>
          <w:szCs w:val="24"/>
        </w:rPr>
        <w:t xml:space="preserve"> at pathway level as per TPC / Undertakings modelling).  This will in turn positively impact 62 day performance, given that there will as a result be improvement to the ‘diagnosed with cancer’ cohort which is essential.  </w:t>
      </w:r>
      <w:r w:rsidRPr="00002F54">
        <w:rPr>
          <w:rFonts w:cs="Arial"/>
          <w:sz w:val="24"/>
          <w:szCs w:val="24"/>
        </w:rPr>
        <w:t xml:space="preserve">When disaggregating the data, the </w:t>
      </w:r>
      <w:r w:rsidR="00F3338D">
        <w:rPr>
          <w:rFonts w:cs="Arial"/>
          <w:sz w:val="24"/>
          <w:szCs w:val="24"/>
        </w:rPr>
        <w:t>latest performance (</w:t>
      </w:r>
      <w:r w:rsidR="00E7418B">
        <w:rPr>
          <w:rFonts w:cs="Arial"/>
          <w:sz w:val="24"/>
          <w:szCs w:val="24"/>
        </w:rPr>
        <w:t>March 25</w:t>
      </w:r>
      <w:r w:rsidR="00F3338D">
        <w:rPr>
          <w:rFonts w:cs="Arial"/>
          <w:sz w:val="24"/>
          <w:szCs w:val="24"/>
        </w:rPr>
        <w:t>)</w:t>
      </w:r>
      <w:r w:rsidR="00522D7F">
        <w:rPr>
          <w:rFonts w:cs="Arial"/>
          <w:sz w:val="24"/>
          <w:szCs w:val="24"/>
        </w:rPr>
        <w:t xml:space="preserve"> </w:t>
      </w:r>
      <w:r w:rsidRPr="00002F54">
        <w:rPr>
          <w:rFonts w:cs="Arial"/>
          <w:sz w:val="24"/>
          <w:szCs w:val="24"/>
        </w:rPr>
        <w:t xml:space="preserve">performance would be </w:t>
      </w:r>
      <w:r w:rsidR="00E7418B">
        <w:rPr>
          <w:rFonts w:cs="Arial"/>
          <w:sz w:val="24"/>
          <w:szCs w:val="24"/>
        </w:rPr>
        <w:t>55.13</w:t>
      </w:r>
      <w:r w:rsidR="00522D7F">
        <w:rPr>
          <w:rFonts w:cs="Arial"/>
          <w:sz w:val="24"/>
          <w:szCs w:val="24"/>
        </w:rPr>
        <w:t>%</w:t>
      </w:r>
      <w:r w:rsidR="00522D7F" w:rsidRPr="00522D7F">
        <w:rPr>
          <w:rFonts w:cs="Arial"/>
          <w:sz w:val="24"/>
          <w:szCs w:val="24"/>
        </w:rPr>
        <w:t xml:space="preserve"> </w:t>
      </w:r>
      <w:r w:rsidR="00522D7F" w:rsidRPr="00002F54">
        <w:rPr>
          <w:rFonts w:cs="Arial"/>
          <w:sz w:val="24"/>
          <w:szCs w:val="24"/>
        </w:rPr>
        <w:t>for those patients with a positive cancer diagnosis</w:t>
      </w:r>
      <w:r w:rsidR="00522D7F">
        <w:rPr>
          <w:rFonts w:cs="Arial"/>
          <w:sz w:val="24"/>
          <w:szCs w:val="24"/>
        </w:rPr>
        <w:t xml:space="preserve">.  </w:t>
      </w:r>
      <w:r w:rsidRPr="00002F54">
        <w:rPr>
          <w:rFonts w:cs="Arial"/>
          <w:sz w:val="24"/>
          <w:szCs w:val="24"/>
        </w:rPr>
        <w:t xml:space="preserve">  </w:t>
      </w:r>
      <w:r w:rsidR="006E290E" w:rsidRPr="00002F54">
        <w:rPr>
          <w:rFonts w:cs="Arial"/>
          <w:sz w:val="24"/>
          <w:szCs w:val="24"/>
        </w:rPr>
        <w:t>This is shown below by organisation and by tumour site.</w:t>
      </w:r>
    </w:p>
    <w:p w14:paraId="1A8CBC3F" w14:textId="3F307026" w:rsidR="006E290E" w:rsidRPr="00002F54" w:rsidRDefault="00E7418B" w:rsidP="008566A7">
      <w:pPr>
        <w:spacing w:after="0"/>
        <w:ind w:left="57" w:right="57"/>
        <w:jc w:val="both"/>
        <w:rPr>
          <w:rFonts w:cs="Arial"/>
          <w:highlight w:val="cyan"/>
        </w:rPr>
      </w:pPr>
      <w:r>
        <w:rPr>
          <w:noProof/>
        </w:rPr>
        <w:lastRenderedPageBreak/>
        <w:drawing>
          <wp:inline distT="0" distB="0" distL="0" distR="0" wp14:anchorId="404B33DA" wp14:editId="0C8AD848">
            <wp:extent cx="6263640" cy="3828415"/>
            <wp:effectExtent l="0" t="0" r="0" b="0"/>
            <wp:docPr id="6533021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302105" name=""/>
                    <pic:cNvPicPr/>
                  </pic:nvPicPr>
                  <pic:blipFill>
                    <a:blip r:embed="rId15"/>
                    <a:stretch>
                      <a:fillRect/>
                    </a:stretch>
                  </pic:blipFill>
                  <pic:spPr>
                    <a:xfrm>
                      <a:off x="0" y="0"/>
                      <a:ext cx="6263640" cy="3828415"/>
                    </a:xfrm>
                    <a:prstGeom prst="rect">
                      <a:avLst/>
                    </a:prstGeom>
                  </pic:spPr>
                </pic:pic>
              </a:graphicData>
            </a:graphic>
          </wp:inline>
        </w:drawing>
      </w:r>
    </w:p>
    <w:p w14:paraId="0657DE79" w14:textId="577918E6" w:rsidR="00F34B63" w:rsidRDefault="00F34B63" w:rsidP="008566A7">
      <w:pPr>
        <w:spacing w:after="0"/>
        <w:ind w:left="57" w:right="57"/>
        <w:jc w:val="both"/>
        <w:rPr>
          <w:rFonts w:cs="Arial"/>
          <w:highlight w:val="cyan"/>
        </w:rPr>
      </w:pPr>
    </w:p>
    <w:p w14:paraId="60E75B25" w14:textId="77777777" w:rsidR="00F3338D" w:rsidRDefault="00F3338D" w:rsidP="008566A7">
      <w:pPr>
        <w:spacing w:after="0"/>
        <w:ind w:left="57" w:right="57"/>
        <w:jc w:val="both"/>
        <w:rPr>
          <w:rFonts w:cs="Arial"/>
          <w:highlight w:val="cyan"/>
        </w:rPr>
      </w:pPr>
    </w:p>
    <w:p w14:paraId="4E676B38" w14:textId="423DCC55" w:rsidR="00F3338D" w:rsidRPr="000465B0" w:rsidRDefault="00F3338D" w:rsidP="008566A7">
      <w:pPr>
        <w:spacing w:after="0"/>
        <w:ind w:left="57" w:right="57"/>
        <w:jc w:val="both"/>
        <w:rPr>
          <w:rFonts w:cs="Arial"/>
          <w:highlight w:val="yellow"/>
        </w:rPr>
      </w:pPr>
    </w:p>
    <w:p w14:paraId="1062E9D3" w14:textId="76CAA965" w:rsidR="00697609" w:rsidRPr="00002F54" w:rsidRDefault="00697609" w:rsidP="008566A7">
      <w:pPr>
        <w:spacing w:after="0"/>
        <w:ind w:left="57" w:right="57"/>
        <w:jc w:val="both"/>
        <w:rPr>
          <w:rFonts w:cs="Arial"/>
          <w:highlight w:val="cyan"/>
        </w:rPr>
      </w:pPr>
    </w:p>
    <w:p w14:paraId="2302E932" w14:textId="77777777" w:rsidR="00F34B63" w:rsidRPr="00002F54" w:rsidRDefault="00F34B63" w:rsidP="008566A7">
      <w:pPr>
        <w:spacing w:after="0"/>
        <w:ind w:left="57" w:right="57"/>
        <w:jc w:val="both"/>
        <w:rPr>
          <w:rFonts w:cs="Arial"/>
          <w:highlight w:val="cyan"/>
        </w:rPr>
      </w:pPr>
    </w:p>
    <w:p w14:paraId="1343F46F" w14:textId="685C5FF1" w:rsidR="00691430" w:rsidRPr="00002F54" w:rsidRDefault="00B211BD" w:rsidP="00FE0C5A">
      <w:pPr>
        <w:spacing w:after="0"/>
        <w:ind w:left="57" w:right="57"/>
        <w:jc w:val="both"/>
        <w:rPr>
          <w:rFonts w:cs="Arial"/>
          <w:sz w:val="24"/>
          <w:szCs w:val="24"/>
        </w:rPr>
      </w:pPr>
      <w:r w:rsidRPr="00002F54">
        <w:rPr>
          <w:rFonts w:cs="Arial"/>
          <w:sz w:val="24"/>
          <w:szCs w:val="24"/>
          <w:u w:val="single"/>
        </w:rPr>
        <w:t>The distribution of FDS performance remains vast.</w:t>
      </w:r>
      <w:r w:rsidRPr="00002F54">
        <w:rPr>
          <w:rFonts w:cs="Arial"/>
          <w:sz w:val="24"/>
          <w:szCs w:val="24"/>
        </w:rPr>
        <w:t xml:space="preserve">  This can be </w:t>
      </w:r>
      <w:r w:rsidR="005B7505" w:rsidRPr="00002F54">
        <w:rPr>
          <w:rFonts w:cs="Arial"/>
          <w:sz w:val="24"/>
          <w:szCs w:val="24"/>
        </w:rPr>
        <w:t>visualised</w:t>
      </w:r>
      <w:r w:rsidRPr="00002F54">
        <w:rPr>
          <w:rFonts w:cs="Arial"/>
          <w:sz w:val="24"/>
          <w:szCs w:val="24"/>
        </w:rPr>
        <w:t xml:space="preserve"> below</w:t>
      </w:r>
      <w:r w:rsidR="00691430" w:rsidRPr="00002F54">
        <w:rPr>
          <w:rFonts w:cs="Arial"/>
          <w:sz w:val="24"/>
          <w:szCs w:val="24"/>
        </w:rPr>
        <w:t xml:space="preserve">.  </w:t>
      </w:r>
      <w:r w:rsidR="00770A49">
        <w:rPr>
          <w:rFonts w:cs="Arial"/>
          <w:sz w:val="24"/>
          <w:szCs w:val="24"/>
        </w:rPr>
        <w:t>This is the cohort of patients with a FDS clock stop with a diagnosis of cancer.  Significantly, its not how many breach 28 days but the distribution of patients, and the significant tail.</w:t>
      </w:r>
    </w:p>
    <w:p w14:paraId="289C4BE0" w14:textId="51AF0EEB" w:rsidR="00691430" w:rsidRDefault="00691430" w:rsidP="00FE0C5A">
      <w:pPr>
        <w:spacing w:after="0"/>
        <w:ind w:left="57" w:right="57"/>
        <w:jc w:val="both"/>
        <w:rPr>
          <w:rFonts w:cs="Arial"/>
          <w:sz w:val="24"/>
          <w:szCs w:val="24"/>
        </w:rPr>
      </w:pPr>
    </w:p>
    <w:p w14:paraId="73BE8769" w14:textId="4EFDC046" w:rsidR="00F57910" w:rsidRPr="00002F54" w:rsidRDefault="00F57910" w:rsidP="00FE0C5A">
      <w:pPr>
        <w:spacing w:after="0"/>
        <w:ind w:left="57" w:right="57"/>
        <w:jc w:val="both"/>
        <w:rPr>
          <w:rFonts w:cs="Arial"/>
          <w:sz w:val="24"/>
          <w:szCs w:val="24"/>
        </w:rPr>
      </w:pPr>
      <w:r>
        <w:rPr>
          <w:rFonts w:cs="Arial"/>
          <w:sz w:val="24"/>
          <w:szCs w:val="24"/>
        </w:rPr>
        <w:t>The chart below is the distribution of the patients with Cancer diagnosed.</w:t>
      </w:r>
    </w:p>
    <w:p w14:paraId="45F68F49" w14:textId="760804DD" w:rsidR="00B211BD" w:rsidRDefault="00B211BD" w:rsidP="00FE0C5A">
      <w:pPr>
        <w:spacing w:after="0"/>
        <w:ind w:left="57" w:right="57"/>
        <w:jc w:val="both"/>
        <w:rPr>
          <w:noProof/>
        </w:rPr>
      </w:pPr>
    </w:p>
    <w:p w14:paraId="217CAE3A" w14:textId="250592AF" w:rsidR="00122D8C" w:rsidRDefault="004A1A42" w:rsidP="00FE0C5A">
      <w:pPr>
        <w:spacing w:after="0"/>
        <w:ind w:left="57" w:right="57"/>
        <w:jc w:val="both"/>
        <w:rPr>
          <w:rFonts w:cs="Arial"/>
          <w:sz w:val="24"/>
          <w:szCs w:val="24"/>
          <w:u w:val="single"/>
        </w:rPr>
      </w:pPr>
      <w:r>
        <w:rPr>
          <w:noProof/>
        </w:rPr>
        <w:lastRenderedPageBreak/>
        <w:drawing>
          <wp:inline distT="0" distB="0" distL="0" distR="0" wp14:anchorId="61D90044" wp14:editId="1B5F26F7">
            <wp:extent cx="6263640" cy="3802380"/>
            <wp:effectExtent l="0" t="0" r="0" b="0"/>
            <wp:docPr id="13268905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890561" name=""/>
                    <pic:cNvPicPr/>
                  </pic:nvPicPr>
                  <pic:blipFill>
                    <a:blip r:embed="rId16"/>
                    <a:stretch>
                      <a:fillRect/>
                    </a:stretch>
                  </pic:blipFill>
                  <pic:spPr>
                    <a:xfrm>
                      <a:off x="0" y="0"/>
                      <a:ext cx="6263640" cy="3802380"/>
                    </a:xfrm>
                    <a:prstGeom prst="rect">
                      <a:avLst/>
                    </a:prstGeom>
                  </pic:spPr>
                </pic:pic>
              </a:graphicData>
            </a:graphic>
          </wp:inline>
        </w:drawing>
      </w:r>
    </w:p>
    <w:p w14:paraId="29DBA8EA" w14:textId="01011E12" w:rsidR="00A82471" w:rsidRPr="00002F54" w:rsidRDefault="00A82471" w:rsidP="007B5609">
      <w:pPr>
        <w:jc w:val="both"/>
        <w:rPr>
          <w:rFonts w:cs="Arial"/>
          <w:color w:val="000000" w:themeColor="text1"/>
          <w:sz w:val="24"/>
          <w:szCs w:val="24"/>
          <w:u w:val="single"/>
        </w:rPr>
      </w:pPr>
    </w:p>
    <w:p w14:paraId="54A9629A" w14:textId="77777777" w:rsidR="00002F54" w:rsidRPr="00002F54" w:rsidRDefault="00002F54" w:rsidP="007B5609">
      <w:pPr>
        <w:spacing w:after="0"/>
        <w:ind w:left="57" w:right="57"/>
        <w:jc w:val="both"/>
        <w:rPr>
          <w:rFonts w:cs="Arial"/>
          <w:highlight w:val="cyan"/>
        </w:rPr>
      </w:pPr>
    </w:p>
    <w:p w14:paraId="285EAAF0" w14:textId="77777777" w:rsidR="00643EFF" w:rsidRDefault="00643EFF" w:rsidP="007B5609">
      <w:pPr>
        <w:jc w:val="both"/>
        <w:rPr>
          <w:rFonts w:cs="Arial"/>
          <w:color w:val="000000" w:themeColor="text1"/>
          <w:sz w:val="24"/>
          <w:szCs w:val="24"/>
          <w:u w:val="single"/>
        </w:rPr>
      </w:pPr>
      <w:r>
        <w:rPr>
          <w:rFonts w:cs="Arial"/>
          <w:color w:val="000000" w:themeColor="text1"/>
          <w:sz w:val="24"/>
          <w:szCs w:val="24"/>
          <w:u w:val="single"/>
        </w:rPr>
        <w:t>2.4 Work Programme Update</w:t>
      </w:r>
    </w:p>
    <w:p w14:paraId="08FAD02B" w14:textId="23B446CF" w:rsidR="007946E4" w:rsidRDefault="00643EFF" w:rsidP="000465B0">
      <w:pPr>
        <w:jc w:val="both"/>
        <w:rPr>
          <w:rFonts w:cs="Arial"/>
          <w:color w:val="000000" w:themeColor="text1"/>
          <w:sz w:val="24"/>
          <w:szCs w:val="24"/>
        </w:rPr>
      </w:pPr>
      <w:r>
        <w:rPr>
          <w:rFonts w:cs="Arial"/>
          <w:color w:val="000000" w:themeColor="text1"/>
          <w:sz w:val="24"/>
          <w:szCs w:val="24"/>
        </w:rPr>
        <w:t>Work programme actions are progressing</w:t>
      </w:r>
      <w:r w:rsidR="00465983">
        <w:rPr>
          <w:rFonts w:cs="Arial"/>
          <w:color w:val="000000" w:themeColor="text1"/>
          <w:sz w:val="24"/>
          <w:szCs w:val="24"/>
        </w:rPr>
        <w:t>.</w:t>
      </w:r>
      <w:r w:rsidR="007B5609">
        <w:rPr>
          <w:rFonts w:cs="Arial"/>
          <w:color w:val="000000" w:themeColor="text1"/>
          <w:sz w:val="24"/>
          <w:szCs w:val="24"/>
        </w:rPr>
        <w:t xml:space="preserve">  Updates on all initiatives can be found in Appendix </w:t>
      </w:r>
      <w:r w:rsidR="000465B0">
        <w:rPr>
          <w:rFonts w:cs="Arial"/>
          <w:color w:val="000000" w:themeColor="text1"/>
          <w:sz w:val="24"/>
          <w:szCs w:val="24"/>
        </w:rPr>
        <w:t>2</w:t>
      </w:r>
      <w:r w:rsidR="007B5609">
        <w:rPr>
          <w:rFonts w:cs="Arial"/>
          <w:color w:val="000000" w:themeColor="text1"/>
          <w:sz w:val="24"/>
          <w:szCs w:val="24"/>
        </w:rPr>
        <w:t>.</w:t>
      </w:r>
      <w:r w:rsidR="00465983">
        <w:rPr>
          <w:rFonts w:cs="Arial"/>
          <w:color w:val="000000" w:themeColor="text1"/>
          <w:sz w:val="24"/>
          <w:szCs w:val="24"/>
        </w:rPr>
        <w:t xml:space="preserve">  </w:t>
      </w:r>
    </w:p>
    <w:p w14:paraId="32AC1011" w14:textId="77777777" w:rsidR="004A1A42" w:rsidRDefault="004A1A42" w:rsidP="007B5609">
      <w:pPr>
        <w:jc w:val="both"/>
        <w:rPr>
          <w:rFonts w:cs="Arial"/>
          <w:color w:val="000000" w:themeColor="text1"/>
          <w:sz w:val="24"/>
          <w:szCs w:val="24"/>
          <w:u w:val="single"/>
        </w:rPr>
      </w:pPr>
    </w:p>
    <w:p w14:paraId="7563B6BB" w14:textId="7EE5E56B" w:rsidR="00511171" w:rsidRDefault="00511171" w:rsidP="007B5609">
      <w:pPr>
        <w:jc w:val="both"/>
        <w:rPr>
          <w:rFonts w:cs="Arial"/>
          <w:color w:val="000000" w:themeColor="text1"/>
          <w:sz w:val="24"/>
          <w:szCs w:val="24"/>
          <w:u w:val="single"/>
        </w:rPr>
      </w:pPr>
      <w:r w:rsidRPr="00002F54">
        <w:rPr>
          <w:rFonts w:cs="Arial"/>
          <w:color w:val="000000" w:themeColor="text1"/>
          <w:sz w:val="24"/>
          <w:szCs w:val="24"/>
          <w:u w:val="single"/>
        </w:rPr>
        <w:t>2.</w:t>
      </w:r>
      <w:r w:rsidR="00BB2B56" w:rsidRPr="00002F54">
        <w:rPr>
          <w:rFonts w:cs="Arial"/>
          <w:color w:val="000000" w:themeColor="text1"/>
          <w:sz w:val="24"/>
          <w:szCs w:val="24"/>
          <w:u w:val="single"/>
        </w:rPr>
        <w:t>5</w:t>
      </w:r>
      <w:r w:rsidRPr="00002F54">
        <w:rPr>
          <w:rFonts w:cs="Arial"/>
          <w:color w:val="000000" w:themeColor="text1"/>
          <w:sz w:val="24"/>
          <w:szCs w:val="24"/>
          <w:u w:val="single"/>
        </w:rPr>
        <w:t xml:space="preserve"> </w:t>
      </w:r>
      <w:r w:rsidR="004A1A42">
        <w:rPr>
          <w:rFonts w:cs="Arial"/>
          <w:color w:val="000000" w:themeColor="text1"/>
          <w:sz w:val="24"/>
          <w:szCs w:val="24"/>
          <w:u w:val="single"/>
        </w:rPr>
        <w:t xml:space="preserve">CWT Guidance Changes </w:t>
      </w:r>
      <w:r w:rsidR="00AA6054">
        <w:rPr>
          <w:rFonts w:cs="Arial"/>
          <w:color w:val="000000" w:themeColor="text1"/>
          <w:sz w:val="24"/>
          <w:szCs w:val="24"/>
          <w:u w:val="single"/>
        </w:rPr>
        <w:t>(V12.1)</w:t>
      </w:r>
    </w:p>
    <w:p w14:paraId="54FE283D" w14:textId="77777777" w:rsidR="00AA6054" w:rsidRDefault="00AA6054" w:rsidP="007B5609">
      <w:pPr>
        <w:jc w:val="both"/>
        <w:rPr>
          <w:rFonts w:cs="Arial"/>
          <w:color w:val="000000" w:themeColor="text1"/>
          <w:sz w:val="24"/>
          <w:szCs w:val="24"/>
        </w:rPr>
      </w:pPr>
      <w:r>
        <w:rPr>
          <w:rFonts w:cs="Arial"/>
          <w:color w:val="000000" w:themeColor="text1"/>
          <w:sz w:val="24"/>
          <w:szCs w:val="24"/>
        </w:rPr>
        <w:t xml:space="preserve">CWT V12.1 was issued 09 April.  It provided clarity to </w:t>
      </w:r>
      <w:proofErr w:type="gramStart"/>
      <w:r>
        <w:rPr>
          <w:rFonts w:cs="Arial"/>
          <w:color w:val="000000" w:themeColor="text1"/>
          <w:sz w:val="24"/>
          <w:szCs w:val="24"/>
        </w:rPr>
        <w:t>a number of</w:t>
      </w:r>
      <w:proofErr w:type="gramEnd"/>
      <w:r>
        <w:rPr>
          <w:rFonts w:cs="Arial"/>
          <w:color w:val="000000" w:themeColor="text1"/>
          <w:sz w:val="24"/>
          <w:szCs w:val="24"/>
        </w:rPr>
        <w:t xml:space="preserve"> points where they was felt to be ambiguity.  These aspects are for immediate implementation.  For the ‘changes’ to the guidance, they are applicable from 01 July 25.  </w:t>
      </w:r>
    </w:p>
    <w:p w14:paraId="1C66ABB0" w14:textId="77777777" w:rsidR="00AA6054" w:rsidRDefault="00AA6054" w:rsidP="007B5609">
      <w:pPr>
        <w:jc w:val="both"/>
        <w:rPr>
          <w:rFonts w:cs="Arial"/>
          <w:color w:val="000000" w:themeColor="text1"/>
          <w:sz w:val="24"/>
          <w:szCs w:val="24"/>
        </w:rPr>
      </w:pPr>
    </w:p>
    <w:p w14:paraId="7BF0F7BB" w14:textId="7F55AE4E" w:rsidR="00AA6054" w:rsidRPr="00AA6054" w:rsidRDefault="00AA6054" w:rsidP="007B5609">
      <w:pPr>
        <w:jc w:val="both"/>
        <w:rPr>
          <w:rFonts w:cs="Arial"/>
          <w:color w:val="000000" w:themeColor="text1"/>
          <w:sz w:val="24"/>
          <w:szCs w:val="24"/>
        </w:rPr>
      </w:pPr>
      <w:r>
        <w:rPr>
          <w:rFonts w:cs="Arial"/>
          <w:color w:val="000000" w:themeColor="text1"/>
          <w:sz w:val="24"/>
          <w:szCs w:val="24"/>
        </w:rPr>
        <w:t>A briefing paper regarding the changes has been produced and issued, and three webinars delivered detailing the changes and practical discussion on what this means.   The briefing paper and slides are in Appendix 3.  A draft access policy, which was delayed pending the new guidance is available for comment in Appendix 4.</w:t>
      </w:r>
    </w:p>
    <w:p w14:paraId="4DA961D8" w14:textId="77777777" w:rsidR="004A1A42" w:rsidRDefault="004A1A42" w:rsidP="007B5609">
      <w:pPr>
        <w:jc w:val="both"/>
        <w:rPr>
          <w:rFonts w:cs="Arial"/>
          <w:color w:val="000000" w:themeColor="text1"/>
          <w:sz w:val="24"/>
          <w:szCs w:val="24"/>
          <w:u w:val="single"/>
        </w:rPr>
      </w:pPr>
    </w:p>
    <w:p w14:paraId="19F10106" w14:textId="10AF5894" w:rsidR="004A1A42" w:rsidRPr="00002F54" w:rsidRDefault="004A1A42" w:rsidP="007B5609">
      <w:pPr>
        <w:jc w:val="both"/>
        <w:rPr>
          <w:rFonts w:cs="Arial"/>
          <w:color w:val="000000" w:themeColor="text1"/>
          <w:sz w:val="24"/>
          <w:szCs w:val="24"/>
          <w:u w:val="single"/>
        </w:rPr>
      </w:pPr>
      <w:r>
        <w:rPr>
          <w:rFonts w:cs="Arial"/>
          <w:color w:val="000000" w:themeColor="text1"/>
          <w:sz w:val="24"/>
          <w:szCs w:val="24"/>
          <w:u w:val="single"/>
        </w:rPr>
        <w:t>2.6 Delivery Risks</w:t>
      </w:r>
    </w:p>
    <w:p w14:paraId="0D661B4C" w14:textId="5E981593" w:rsidR="005E234C" w:rsidRPr="00002F54" w:rsidRDefault="005E234C" w:rsidP="007B5609">
      <w:pPr>
        <w:spacing w:after="0"/>
        <w:jc w:val="both"/>
        <w:rPr>
          <w:rFonts w:cs="Arial"/>
          <w:sz w:val="24"/>
          <w:szCs w:val="24"/>
        </w:rPr>
      </w:pPr>
      <w:r w:rsidRPr="00002F54">
        <w:rPr>
          <w:rFonts w:cs="Arial"/>
          <w:sz w:val="24"/>
          <w:szCs w:val="24"/>
        </w:rPr>
        <w:t xml:space="preserve">There are </w:t>
      </w:r>
      <w:proofErr w:type="gramStart"/>
      <w:r w:rsidRPr="00002F54">
        <w:rPr>
          <w:rFonts w:cs="Arial"/>
          <w:sz w:val="24"/>
          <w:szCs w:val="24"/>
        </w:rPr>
        <w:t>a number of</w:t>
      </w:r>
      <w:proofErr w:type="gramEnd"/>
      <w:r w:rsidRPr="00002F54">
        <w:rPr>
          <w:rFonts w:cs="Arial"/>
          <w:sz w:val="24"/>
          <w:szCs w:val="24"/>
        </w:rPr>
        <w:t xml:space="preserve"> key risks to delivery:</w:t>
      </w:r>
    </w:p>
    <w:p w14:paraId="2131F3B9" w14:textId="77777777" w:rsidR="005E234C" w:rsidRPr="00002F54" w:rsidRDefault="005E234C" w:rsidP="007B5609">
      <w:pPr>
        <w:pStyle w:val="ListParagraph"/>
        <w:numPr>
          <w:ilvl w:val="0"/>
          <w:numId w:val="5"/>
        </w:numPr>
        <w:spacing w:after="0"/>
        <w:jc w:val="both"/>
        <w:rPr>
          <w:rFonts w:cs="Arial"/>
          <w:sz w:val="24"/>
          <w:szCs w:val="24"/>
        </w:rPr>
      </w:pPr>
      <w:r w:rsidRPr="00002F54">
        <w:rPr>
          <w:rFonts w:cs="Arial"/>
          <w:sz w:val="24"/>
          <w:szCs w:val="24"/>
        </w:rPr>
        <w:t>Diagnostic capacity and waiting times</w:t>
      </w:r>
    </w:p>
    <w:p w14:paraId="145FD421" w14:textId="77777777" w:rsidR="005E234C" w:rsidRPr="00002F54" w:rsidRDefault="005E234C" w:rsidP="007B5609">
      <w:pPr>
        <w:pStyle w:val="ListParagraph"/>
        <w:numPr>
          <w:ilvl w:val="0"/>
          <w:numId w:val="5"/>
        </w:numPr>
        <w:spacing w:after="0"/>
        <w:jc w:val="both"/>
        <w:rPr>
          <w:rFonts w:cs="Arial"/>
          <w:sz w:val="24"/>
          <w:szCs w:val="24"/>
        </w:rPr>
      </w:pPr>
      <w:r w:rsidRPr="00002F54">
        <w:rPr>
          <w:rFonts w:cs="Arial"/>
          <w:sz w:val="24"/>
          <w:szCs w:val="24"/>
        </w:rPr>
        <w:t>Delays to wider work programmes managed externally, but which include cancer</w:t>
      </w:r>
    </w:p>
    <w:p w14:paraId="3B59BA40" w14:textId="77777777" w:rsidR="005E234C" w:rsidRPr="00002F54" w:rsidRDefault="005E234C" w:rsidP="007B5609">
      <w:pPr>
        <w:pStyle w:val="ListParagraph"/>
        <w:numPr>
          <w:ilvl w:val="0"/>
          <w:numId w:val="5"/>
        </w:numPr>
        <w:spacing w:after="0"/>
        <w:jc w:val="both"/>
        <w:rPr>
          <w:rFonts w:cs="Arial"/>
          <w:sz w:val="24"/>
          <w:szCs w:val="24"/>
        </w:rPr>
      </w:pPr>
      <w:r w:rsidRPr="00002F54">
        <w:rPr>
          <w:rFonts w:cs="Arial"/>
          <w:sz w:val="24"/>
          <w:szCs w:val="24"/>
        </w:rPr>
        <w:t>Surgical treatment volumes</w:t>
      </w:r>
    </w:p>
    <w:p w14:paraId="7C4AEEEE" w14:textId="0DF13CFD" w:rsidR="005E234C" w:rsidRPr="00002F54" w:rsidRDefault="005E234C" w:rsidP="007B5609">
      <w:pPr>
        <w:pStyle w:val="ListParagraph"/>
        <w:numPr>
          <w:ilvl w:val="0"/>
          <w:numId w:val="5"/>
        </w:numPr>
        <w:spacing w:after="0"/>
        <w:jc w:val="both"/>
        <w:rPr>
          <w:rFonts w:cs="Arial"/>
          <w:sz w:val="24"/>
          <w:szCs w:val="24"/>
        </w:rPr>
      </w:pPr>
      <w:r w:rsidRPr="00002F54">
        <w:rPr>
          <w:rFonts w:cs="Arial"/>
          <w:sz w:val="24"/>
          <w:szCs w:val="24"/>
        </w:rPr>
        <w:t xml:space="preserve">Finance restriction in GM </w:t>
      </w:r>
    </w:p>
    <w:p w14:paraId="61BD1DD0" w14:textId="77777777" w:rsidR="005E234C" w:rsidRPr="00002F54" w:rsidRDefault="005E234C" w:rsidP="007B5609">
      <w:pPr>
        <w:pStyle w:val="ListParagraph"/>
        <w:numPr>
          <w:ilvl w:val="0"/>
          <w:numId w:val="5"/>
        </w:numPr>
        <w:spacing w:after="0"/>
        <w:jc w:val="both"/>
        <w:rPr>
          <w:rFonts w:cs="Arial"/>
          <w:sz w:val="24"/>
          <w:szCs w:val="24"/>
        </w:rPr>
      </w:pPr>
      <w:r w:rsidRPr="00002F54">
        <w:rPr>
          <w:rFonts w:cs="Arial"/>
          <w:sz w:val="24"/>
          <w:szCs w:val="24"/>
        </w:rPr>
        <w:t>Approval of new treatments / pathway requirements (NICE approvals requiring complete pathway changes / significant increases in reflex testing and treatment capacity)</w:t>
      </w:r>
    </w:p>
    <w:p w14:paraId="06D5DC61" w14:textId="77777777" w:rsidR="005B7505" w:rsidRPr="00002F54" w:rsidRDefault="005B7505" w:rsidP="007B5609">
      <w:pPr>
        <w:pStyle w:val="ListParagraph"/>
        <w:numPr>
          <w:ilvl w:val="0"/>
          <w:numId w:val="5"/>
        </w:numPr>
        <w:spacing w:after="0"/>
        <w:jc w:val="both"/>
        <w:rPr>
          <w:rFonts w:cs="Arial"/>
          <w:color w:val="000000" w:themeColor="text1"/>
          <w:sz w:val="24"/>
          <w:szCs w:val="24"/>
        </w:rPr>
      </w:pPr>
      <w:r w:rsidRPr="00002F54">
        <w:rPr>
          <w:rFonts w:cs="Arial"/>
          <w:sz w:val="24"/>
          <w:szCs w:val="24"/>
        </w:rPr>
        <w:t>Engagement in system-wide improvement &amp; pathway transformation</w:t>
      </w:r>
    </w:p>
    <w:p w14:paraId="5574311B" w14:textId="77777777" w:rsidR="005B7505" w:rsidRPr="007B5609" w:rsidRDefault="005B7505" w:rsidP="007B5609">
      <w:pPr>
        <w:pStyle w:val="ListParagraph"/>
        <w:numPr>
          <w:ilvl w:val="0"/>
          <w:numId w:val="5"/>
        </w:numPr>
        <w:spacing w:after="0"/>
        <w:jc w:val="both"/>
        <w:rPr>
          <w:rFonts w:cs="Arial"/>
          <w:color w:val="000000" w:themeColor="text1"/>
          <w:sz w:val="24"/>
          <w:szCs w:val="24"/>
        </w:rPr>
      </w:pPr>
      <w:r w:rsidRPr="00002F54">
        <w:rPr>
          <w:rFonts w:cs="Arial"/>
          <w:sz w:val="24"/>
          <w:szCs w:val="24"/>
        </w:rPr>
        <w:t>Pathology waiting times</w:t>
      </w:r>
    </w:p>
    <w:p w14:paraId="5BDF5F57" w14:textId="703B5E8B" w:rsidR="007B5609" w:rsidRPr="00EC34A5" w:rsidRDefault="007B5609" w:rsidP="007B5609">
      <w:pPr>
        <w:pStyle w:val="ListParagraph"/>
        <w:numPr>
          <w:ilvl w:val="0"/>
          <w:numId w:val="5"/>
        </w:numPr>
        <w:spacing w:after="0"/>
        <w:jc w:val="both"/>
        <w:rPr>
          <w:rFonts w:cs="Arial"/>
          <w:color w:val="000000" w:themeColor="text1"/>
          <w:sz w:val="24"/>
          <w:szCs w:val="24"/>
        </w:rPr>
      </w:pPr>
      <w:r>
        <w:rPr>
          <w:rFonts w:cs="Arial"/>
          <w:sz w:val="24"/>
          <w:szCs w:val="24"/>
        </w:rPr>
        <w:t>Conflicting priorities across the GM system – finance, elective long waits, DM01</w:t>
      </w:r>
    </w:p>
    <w:p w14:paraId="658CB7AA" w14:textId="77777777" w:rsidR="005E234C" w:rsidRPr="00002F54" w:rsidRDefault="005E234C" w:rsidP="007B5609">
      <w:pPr>
        <w:spacing w:after="0"/>
        <w:jc w:val="both"/>
        <w:rPr>
          <w:rFonts w:cs="Arial"/>
          <w:sz w:val="24"/>
          <w:szCs w:val="24"/>
        </w:rPr>
      </w:pPr>
    </w:p>
    <w:p w14:paraId="626EF34F" w14:textId="585814DF" w:rsidR="00511171" w:rsidRPr="00002F54" w:rsidRDefault="005E234C" w:rsidP="007B5609">
      <w:pPr>
        <w:spacing w:after="0"/>
        <w:jc w:val="both"/>
        <w:rPr>
          <w:rFonts w:cs="Arial"/>
          <w:sz w:val="24"/>
          <w:szCs w:val="24"/>
        </w:rPr>
      </w:pPr>
      <w:r w:rsidRPr="00002F54">
        <w:rPr>
          <w:rFonts w:cs="Arial"/>
          <w:sz w:val="24"/>
          <w:szCs w:val="24"/>
        </w:rPr>
        <w:t>A full risk register is available for the work programme</w:t>
      </w:r>
    </w:p>
    <w:p w14:paraId="46258E78" w14:textId="29D77B2B" w:rsidR="002A43D5" w:rsidRDefault="002A43D5" w:rsidP="007B5609">
      <w:pPr>
        <w:spacing w:after="0"/>
        <w:jc w:val="both"/>
        <w:rPr>
          <w:rFonts w:cs="Arial"/>
          <w:sz w:val="24"/>
          <w:szCs w:val="24"/>
        </w:rPr>
      </w:pPr>
    </w:p>
    <w:p w14:paraId="4E44A8A4" w14:textId="77777777" w:rsidR="00C74E7B" w:rsidRDefault="00C74E7B" w:rsidP="007B5609">
      <w:pPr>
        <w:spacing w:after="0"/>
        <w:jc w:val="both"/>
        <w:rPr>
          <w:rFonts w:cs="Arial"/>
          <w:sz w:val="24"/>
          <w:szCs w:val="24"/>
        </w:rPr>
      </w:pPr>
    </w:p>
    <w:p w14:paraId="056B322A" w14:textId="77777777" w:rsidR="00C74E7B" w:rsidRDefault="00C74E7B" w:rsidP="007B5609">
      <w:pPr>
        <w:spacing w:after="0"/>
        <w:jc w:val="both"/>
        <w:rPr>
          <w:rFonts w:cs="Arial"/>
          <w:sz w:val="24"/>
          <w:szCs w:val="24"/>
        </w:rPr>
      </w:pPr>
    </w:p>
    <w:p w14:paraId="739E5F93" w14:textId="77777777" w:rsidR="00C74E7B" w:rsidRDefault="00C74E7B" w:rsidP="007B5609">
      <w:pPr>
        <w:spacing w:after="0"/>
        <w:jc w:val="both"/>
        <w:rPr>
          <w:rFonts w:cs="Arial"/>
          <w:sz w:val="24"/>
          <w:szCs w:val="24"/>
        </w:rPr>
      </w:pPr>
    </w:p>
    <w:p w14:paraId="5B4B5570" w14:textId="48F2D04B" w:rsidR="00D143B1" w:rsidRDefault="00D143B1" w:rsidP="007B5609">
      <w:pPr>
        <w:spacing w:after="0"/>
        <w:jc w:val="both"/>
        <w:rPr>
          <w:rFonts w:cs="Arial"/>
          <w:sz w:val="24"/>
          <w:szCs w:val="24"/>
          <w:u w:val="single"/>
        </w:rPr>
      </w:pPr>
      <w:r w:rsidRPr="00D143B1">
        <w:rPr>
          <w:rFonts w:cs="Arial"/>
          <w:sz w:val="24"/>
          <w:szCs w:val="24"/>
          <w:u w:val="single"/>
        </w:rPr>
        <w:t>3.0 Recommendations / Requests of the Board</w:t>
      </w:r>
    </w:p>
    <w:p w14:paraId="5F6803AA" w14:textId="77777777" w:rsidR="00D143B1" w:rsidRDefault="00D143B1" w:rsidP="007B5609">
      <w:pPr>
        <w:spacing w:after="0"/>
        <w:jc w:val="both"/>
        <w:rPr>
          <w:rFonts w:cs="Arial"/>
          <w:sz w:val="24"/>
          <w:szCs w:val="24"/>
          <w:u w:val="single"/>
        </w:rPr>
      </w:pPr>
    </w:p>
    <w:p w14:paraId="1F1542A0" w14:textId="1AFCAFD5" w:rsidR="00D143B1" w:rsidRDefault="00D143B1" w:rsidP="007B5609">
      <w:pPr>
        <w:spacing w:after="0"/>
        <w:jc w:val="both"/>
        <w:rPr>
          <w:rFonts w:cs="Arial"/>
          <w:sz w:val="24"/>
          <w:szCs w:val="24"/>
        </w:rPr>
      </w:pPr>
    </w:p>
    <w:p w14:paraId="6A01DE1F" w14:textId="6E81258E" w:rsidR="00D143B1" w:rsidRDefault="00EC34A5" w:rsidP="007B5609">
      <w:pPr>
        <w:spacing w:after="0"/>
        <w:jc w:val="both"/>
        <w:rPr>
          <w:rFonts w:cs="Arial"/>
          <w:sz w:val="24"/>
          <w:szCs w:val="24"/>
        </w:rPr>
      </w:pPr>
      <w:r>
        <w:rPr>
          <w:rFonts w:cs="Arial"/>
          <w:sz w:val="24"/>
          <w:szCs w:val="24"/>
        </w:rPr>
        <w:t>GM Cancer Board are asked to:</w:t>
      </w:r>
    </w:p>
    <w:p w14:paraId="55429703" w14:textId="79B03204" w:rsidR="007946E4" w:rsidRDefault="00AA6054" w:rsidP="00EC34A5">
      <w:pPr>
        <w:pStyle w:val="ListParagraph"/>
        <w:numPr>
          <w:ilvl w:val="0"/>
          <w:numId w:val="2"/>
        </w:numPr>
        <w:spacing w:after="0"/>
        <w:jc w:val="both"/>
        <w:rPr>
          <w:rFonts w:cs="Arial"/>
          <w:sz w:val="24"/>
          <w:szCs w:val="24"/>
        </w:rPr>
      </w:pPr>
      <w:r>
        <w:rPr>
          <w:rFonts w:cs="Arial"/>
          <w:sz w:val="24"/>
          <w:szCs w:val="24"/>
        </w:rPr>
        <w:t>Acknowledge the work across the whole system in delivering the 24/25 planning requirements</w:t>
      </w:r>
    </w:p>
    <w:p w14:paraId="029FA0D0" w14:textId="2E6902A6" w:rsidR="00AA6054" w:rsidRDefault="00AA6054" w:rsidP="00EC34A5">
      <w:pPr>
        <w:pStyle w:val="ListParagraph"/>
        <w:numPr>
          <w:ilvl w:val="0"/>
          <w:numId w:val="2"/>
        </w:numPr>
        <w:spacing w:after="0"/>
        <w:jc w:val="both"/>
        <w:rPr>
          <w:rFonts w:cs="Arial"/>
          <w:sz w:val="24"/>
          <w:szCs w:val="24"/>
        </w:rPr>
      </w:pPr>
      <w:r>
        <w:rPr>
          <w:rFonts w:cs="Arial"/>
          <w:sz w:val="24"/>
          <w:szCs w:val="24"/>
        </w:rPr>
        <w:t>Forward any comments about the draft access policy to the Lisa Galligan-Dawson by COP 27 May 25.</w:t>
      </w:r>
    </w:p>
    <w:p w14:paraId="0701B919" w14:textId="77777777" w:rsidR="00AA6054" w:rsidRDefault="00AA6054" w:rsidP="00AA6054">
      <w:pPr>
        <w:spacing w:after="0"/>
        <w:jc w:val="both"/>
        <w:rPr>
          <w:rFonts w:cs="Arial"/>
          <w:sz w:val="24"/>
          <w:szCs w:val="24"/>
        </w:rPr>
      </w:pPr>
    </w:p>
    <w:p w14:paraId="439A8838" w14:textId="0C3B5636" w:rsidR="00AA6054" w:rsidRPr="00AA6054" w:rsidRDefault="00AA6054" w:rsidP="00AA6054">
      <w:pPr>
        <w:spacing w:after="0"/>
        <w:jc w:val="both"/>
        <w:rPr>
          <w:rFonts w:cs="Arial"/>
          <w:sz w:val="24"/>
          <w:szCs w:val="24"/>
        </w:rPr>
      </w:pPr>
      <w:r>
        <w:rPr>
          <w:rFonts w:cs="Arial"/>
          <w:sz w:val="24"/>
          <w:szCs w:val="24"/>
        </w:rPr>
        <w:t>For the next Board meeting, a review on the improvements and impact of projects will be presented.  (The row level data is not available to enable this to be completed for this meeting, due to the late release of ‘super stats Thursday’ data.</w:t>
      </w:r>
    </w:p>
    <w:p w14:paraId="02B323F1" w14:textId="77777777" w:rsidR="00EC34A5" w:rsidRPr="00EC34A5" w:rsidRDefault="00EC34A5" w:rsidP="00EC34A5">
      <w:pPr>
        <w:pStyle w:val="ListParagraph"/>
        <w:spacing w:after="0"/>
        <w:jc w:val="both"/>
        <w:rPr>
          <w:rFonts w:cs="Arial"/>
          <w:sz w:val="24"/>
          <w:szCs w:val="24"/>
        </w:rPr>
      </w:pPr>
    </w:p>
    <w:p w14:paraId="3DE625E4" w14:textId="77777777" w:rsidR="00D143B1" w:rsidRDefault="00D143B1" w:rsidP="007B5609">
      <w:pPr>
        <w:spacing w:after="0"/>
        <w:jc w:val="both"/>
        <w:rPr>
          <w:rFonts w:cs="Arial"/>
          <w:sz w:val="24"/>
          <w:szCs w:val="24"/>
        </w:rPr>
      </w:pPr>
    </w:p>
    <w:p w14:paraId="155DE135" w14:textId="77777777" w:rsidR="00D143B1" w:rsidRPr="00002F54" w:rsidRDefault="00D143B1" w:rsidP="007B5609">
      <w:pPr>
        <w:spacing w:after="0"/>
        <w:jc w:val="both"/>
        <w:rPr>
          <w:rFonts w:cs="Arial"/>
          <w:sz w:val="24"/>
          <w:szCs w:val="24"/>
        </w:rPr>
      </w:pPr>
    </w:p>
    <w:sectPr w:rsidR="00D143B1" w:rsidRPr="00002F54" w:rsidSect="00D64DBD">
      <w:headerReference w:type="default" r:id="rId17"/>
      <w:footerReference w:type="default" r:id="rId18"/>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770A0" w14:textId="77777777" w:rsidR="009431AF" w:rsidRDefault="009431AF" w:rsidP="00BF10E9">
      <w:pPr>
        <w:spacing w:after="0" w:line="240" w:lineRule="auto"/>
      </w:pPr>
      <w:r>
        <w:separator/>
      </w:r>
    </w:p>
  </w:endnote>
  <w:endnote w:type="continuationSeparator" w:id="0">
    <w:p w14:paraId="426DFB67" w14:textId="77777777" w:rsidR="009431AF" w:rsidRDefault="009431AF" w:rsidP="00BF1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S Meridian">
    <w:altName w:val="Calibri"/>
    <w:charset w:val="4D"/>
    <w:family w:val="swiss"/>
    <w:pitch w:val="variable"/>
    <w:sig w:usb0="A000006F" w:usb1="4000207A" w:usb2="00000000" w:usb3="00000000" w:csb0="00000093"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3387" w14:textId="77777777" w:rsidR="00BF10E9" w:rsidRDefault="00BF10E9">
    <w:pPr>
      <w:pStyle w:val="Footer"/>
    </w:pPr>
    <w:r>
      <w:rPr>
        <w:noProof/>
      </w:rPr>
      <w:drawing>
        <wp:anchor distT="0" distB="0" distL="114300" distR="114300" simplePos="0" relativeHeight="251663360" behindDoc="1" locked="0" layoutInCell="1" allowOverlap="1" wp14:anchorId="77C88B94" wp14:editId="639FB1FC">
          <wp:simplePos x="0" y="0"/>
          <wp:positionH relativeFrom="column">
            <wp:posOffset>5067300</wp:posOffset>
          </wp:positionH>
          <wp:positionV relativeFrom="paragraph">
            <wp:posOffset>-800100</wp:posOffset>
          </wp:positionV>
          <wp:extent cx="1600200" cy="1482356"/>
          <wp:effectExtent l="0" t="0" r="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600200" cy="1482356"/>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007C0F41" wp14:editId="3261EA02">
          <wp:simplePos x="0" y="0"/>
          <wp:positionH relativeFrom="column">
            <wp:posOffset>-1524000</wp:posOffset>
          </wp:positionH>
          <wp:positionV relativeFrom="paragraph">
            <wp:posOffset>-396240</wp:posOffset>
          </wp:positionV>
          <wp:extent cx="2675890" cy="967740"/>
          <wp:effectExtent l="0" t="0" r="0" b="38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
                    <a:extLst>
                      <a:ext uri="{28A0092B-C50C-407E-A947-70E740481C1C}">
                        <a14:useLocalDpi xmlns:a14="http://schemas.microsoft.com/office/drawing/2010/main" val="0"/>
                      </a:ext>
                    </a:extLst>
                  </a:blip>
                  <a:srcRect b="46471"/>
                  <a:stretch/>
                </pic:blipFill>
                <pic:spPr bwMode="auto">
                  <a:xfrm>
                    <a:off x="0" y="0"/>
                    <a:ext cx="2675890" cy="9677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16110" w14:textId="77777777" w:rsidR="009431AF" w:rsidRDefault="009431AF" w:rsidP="00BF10E9">
      <w:pPr>
        <w:spacing w:after="0" w:line="240" w:lineRule="auto"/>
      </w:pPr>
      <w:r>
        <w:separator/>
      </w:r>
    </w:p>
  </w:footnote>
  <w:footnote w:type="continuationSeparator" w:id="0">
    <w:p w14:paraId="00B68C2D" w14:textId="77777777" w:rsidR="009431AF" w:rsidRDefault="009431AF" w:rsidP="00BF10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16FE7" w14:textId="77777777" w:rsidR="00BF10E9" w:rsidRDefault="00BF10E9" w:rsidP="00BF10E9">
    <w:pPr>
      <w:pStyle w:val="Header"/>
    </w:pPr>
    <w:r>
      <w:rPr>
        <w:noProof/>
      </w:rPr>
      <w:drawing>
        <wp:anchor distT="0" distB="0" distL="114300" distR="114300" simplePos="0" relativeHeight="251659264" behindDoc="0" locked="0" layoutInCell="1" allowOverlap="1" wp14:anchorId="6C850A37" wp14:editId="46E5C522">
          <wp:simplePos x="0" y="0"/>
          <wp:positionH relativeFrom="column">
            <wp:posOffset>3695700</wp:posOffset>
          </wp:positionH>
          <wp:positionV relativeFrom="paragraph">
            <wp:posOffset>-526415</wp:posOffset>
          </wp:positionV>
          <wp:extent cx="3024000" cy="15228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3024000" cy="152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6697"/>
    <w:multiLevelType w:val="multilevel"/>
    <w:tmpl w:val="FDD0E312"/>
    <w:lvl w:ilvl="0">
      <w:start w:val="1"/>
      <w:numFmt w:val="decimal"/>
      <w:lvlText w:val="%1.0"/>
      <w:lvlJc w:val="left"/>
      <w:pPr>
        <w:ind w:left="530" w:hanging="530"/>
      </w:pPr>
      <w:rPr>
        <w:rFonts w:hint="default"/>
      </w:rPr>
    </w:lvl>
    <w:lvl w:ilvl="1">
      <w:start w:val="1"/>
      <w:numFmt w:val="decimal"/>
      <w:lvlText w:val="%1.%2"/>
      <w:lvlJc w:val="left"/>
      <w:pPr>
        <w:ind w:left="1250" w:hanging="53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B532E67"/>
    <w:multiLevelType w:val="multilevel"/>
    <w:tmpl w:val="33D86936"/>
    <w:lvl w:ilvl="0">
      <w:start w:val="1"/>
      <w:numFmt w:val="decimal"/>
      <w:lvlText w:val="%1."/>
      <w:lvlJc w:val="left"/>
      <w:pPr>
        <w:ind w:left="720" w:hanging="360"/>
      </w:pPr>
      <w:rPr>
        <w:rFonts w:hint="default"/>
      </w:rPr>
    </w:lvl>
    <w:lvl w:ilvl="1">
      <w:start w:val="2"/>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CE54063"/>
    <w:multiLevelType w:val="hybridMultilevel"/>
    <w:tmpl w:val="C0BED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202718"/>
    <w:multiLevelType w:val="hybridMultilevel"/>
    <w:tmpl w:val="A78C1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A25AC5"/>
    <w:multiLevelType w:val="hybridMultilevel"/>
    <w:tmpl w:val="EC7A9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1161E7B"/>
    <w:multiLevelType w:val="hybridMultilevel"/>
    <w:tmpl w:val="84FE8C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43084258">
    <w:abstractNumId w:val="4"/>
  </w:num>
  <w:num w:numId="2" w16cid:durableId="1644702585">
    <w:abstractNumId w:val="3"/>
  </w:num>
  <w:num w:numId="3" w16cid:durableId="1851141181">
    <w:abstractNumId w:val="0"/>
  </w:num>
  <w:num w:numId="4" w16cid:durableId="1162500485">
    <w:abstractNumId w:val="1"/>
  </w:num>
  <w:num w:numId="5" w16cid:durableId="1057751522">
    <w:abstractNumId w:val="5"/>
  </w:num>
  <w:num w:numId="6" w16cid:durableId="742725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431AF"/>
    <w:rsid w:val="00002F54"/>
    <w:rsid w:val="000465B0"/>
    <w:rsid w:val="00065468"/>
    <w:rsid w:val="000A027E"/>
    <w:rsid w:val="000B036C"/>
    <w:rsid w:val="00100583"/>
    <w:rsid w:val="001059D9"/>
    <w:rsid w:val="00107867"/>
    <w:rsid w:val="00122D8C"/>
    <w:rsid w:val="001462B8"/>
    <w:rsid w:val="001572AE"/>
    <w:rsid w:val="00192B72"/>
    <w:rsid w:val="00196ED3"/>
    <w:rsid w:val="001C4168"/>
    <w:rsid w:val="001C45DB"/>
    <w:rsid w:val="00230C27"/>
    <w:rsid w:val="00253E25"/>
    <w:rsid w:val="00271FEB"/>
    <w:rsid w:val="002951C6"/>
    <w:rsid w:val="002A43D5"/>
    <w:rsid w:val="002B26BA"/>
    <w:rsid w:val="002E1C51"/>
    <w:rsid w:val="002F3B09"/>
    <w:rsid w:val="002F4B9B"/>
    <w:rsid w:val="00362AB0"/>
    <w:rsid w:val="00385C45"/>
    <w:rsid w:val="003D48E8"/>
    <w:rsid w:val="003E0187"/>
    <w:rsid w:val="003E0954"/>
    <w:rsid w:val="00401CE2"/>
    <w:rsid w:val="00452030"/>
    <w:rsid w:val="004647D4"/>
    <w:rsid w:val="00465983"/>
    <w:rsid w:val="004731A2"/>
    <w:rsid w:val="004A1A42"/>
    <w:rsid w:val="004C3E6C"/>
    <w:rsid w:val="005109E6"/>
    <w:rsid w:val="00511171"/>
    <w:rsid w:val="00513637"/>
    <w:rsid w:val="00522D7F"/>
    <w:rsid w:val="0056269F"/>
    <w:rsid w:val="00584942"/>
    <w:rsid w:val="0059042E"/>
    <w:rsid w:val="0059236C"/>
    <w:rsid w:val="005B7505"/>
    <w:rsid w:val="005E21BD"/>
    <w:rsid w:val="005E234C"/>
    <w:rsid w:val="0060474C"/>
    <w:rsid w:val="00643EFF"/>
    <w:rsid w:val="00664CDD"/>
    <w:rsid w:val="00691430"/>
    <w:rsid w:val="00697609"/>
    <w:rsid w:val="006A0025"/>
    <w:rsid w:val="006E290E"/>
    <w:rsid w:val="006F75DF"/>
    <w:rsid w:val="00715256"/>
    <w:rsid w:val="00770A49"/>
    <w:rsid w:val="00785541"/>
    <w:rsid w:val="007946E4"/>
    <w:rsid w:val="007B5609"/>
    <w:rsid w:val="007D263A"/>
    <w:rsid w:val="00803FB3"/>
    <w:rsid w:val="00822864"/>
    <w:rsid w:val="00842DFF"/>
    <w:rsid w:val="008512F9"/>
    <w:rsid w:val="00852AB8"/>
    <w:rsid w:val="008566A7"/>
    <w:rsid w:val="00856B29"/>
    <w:rsid w:val="00875452"/>
    <w:rsid w:val="008D61D6"/>
    <w:rsid w:val="008E3884"/>
    <w:rsid w:val="008F380E"/>
    <w:rsid w:val="0090532B"/>
    <w:rsid w:val="00920FBA"/>
    <w:rsid w:val="009431AF"/>
    <w:rsid w:val="00975FD7"/>
    <w:rsid w:val="009765C0"/>
    <w:rsid w:val="009772B1"/>
    <w:rsid w:val="009B79B6"/>
    <w:rsid w:val="009F7679"/>
    <w:rsid w:val="00A26D39"/>
    <w:rsid w:val="00A44EA5"/>
    <w:rsid w:val="00A821DF"/>
    <w:rsid w:val="00A82471"/>
    <w:rsid w:val="00AA6054"/>
    <w:rsid w:val="00AB210C"/>
    <w:rsid w:val="00AF6773"/>
    <w:rsid w:val="00B174E9"/>
    <w:rsid w:val="00B211BD"/>
    <w:rsid w:val="00BA7D2A"/>
    <w:rsid w:val="00BB2B56"/>
    <w:rsid w:val="00BD14A3"/>
    <w:rsid w:val="00BE4653"/>
    <w:rsid w:val="00BF10E9"/>
    <w:rsid w:val="00BF6483"/>
    <w:rsid w:val="00C221B1"/>
    <w:rsid w:val="00C22934"/>
    <w:rsid w:val="00C45165"/>
    <w:rsid w:val="00C74E7B"/>
    <w:rsid w:val="00CA61B3"/>
    <w:rsid w:val="00CE0C71"/>
    <w:rsid w:val="00D005F8"/>
    <w:rsid w:val="00D00E75"/>
    <w:rsid w:val="00D143B1"/>
    <w:rsid w:val="00D64DBD"/>
    <w:rsid w:val="00D667A7"/>
    <w:rsid w:val="00DA0AD8"/>
    <w:rsid w:val="00DB3728"/>
    <w:rsid w:val="00DD025B"/>
    <w:rsid w:val="00E227F9"/>
    <w:rsid w:val="00E64DF9"/>
    <w:rsid w:val="00E7418B"/>
    <w:rsid w:val="00E74A64"/>
    <w:rsid w:val="00EC34A5"/>
    <w:rsid w:val="00EF1F4E"/>
    <w:rsid w:val="00EF4DDA"/>
    <w:rsid w:val="00F12A42"/>
    <w:rsid w:val="00F3338D"/>
    <w:rsid w:val="00F34B63"/>
    <w:rsid w:val="00F36899"/>
    <w:rsid w:val="00F3712C"/>
    <w:rsid w:val="00F46434"/>
    <w:rsid w:val="00F57910"/>
    <w:rsid w:val="00F775AB"/>
    <w:rsid w:val="00F8057F"/>
    <w:rsid w:val="00FC2681"/>
    <w:rsid w:val="00FE0C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2B2695F0"/>
  <w15:docId w15:val="{250C81C6-DD2F-4031-B295-5DD8CBDA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0E9"/>
    <w:pPr>
      <w:spacing w:line="360" w:lineRule="auto"/>
    </w:pPr>
    <w:rPr>
      <w:rFonts w:ascii="Arial" w:hAnsi="Arial"/>
    </w:rPr>
  </w:style>
  <w:style w:type="paragraph" w:styleId="Heading1">
    <w:name w:val="heading 1"/>
    <w:basedOn w:val="Normal"/>
    <w:next w:val="Normal"/>
    <w:link w:val="Heading1Char"/>
    <w:uiPriority w:val="9"/>
    <w:qFormat/>
    <w:rsid w:val="00C221B1"/>
    <w:pPr>
      <w:keepNext/>
      <w:keepLines/>
      <w:spacing w:before="240" w:after="0"/>
      <w:outlineLvl w:val="0"/>
    </w:pPr>
    <w:rPr>
      <w:rFonts w:eastAsiaTheme="majorEastAsia" w:cstheme="majorBidi"/>
      <w:color w:val="005EB8"/>
      <w:sz w:val="32"/>
      <w:szCs w:val="32"/>
    </w:rPr>
  </w:style>
  <w:style w:type="paragraph" w:styleId="Heading2">
    <w:name w:val="heading 2"/>
    <w:basedOn w:val="Normal"/>
    <w:next w:val="Normal"/>
    <w:link w:val="Heading2Char"/>
    <w:uiPriority w:val="9"/>
    <w:unhideWhenUsed/>
    <w:qFormat/>
    <w:rsid w:val="00C221B1"/>
    <w:pPr>
      <w:keepNext/>
      <w:keepLines/>
      <w:spacing w:before="40" w:after="0"/>
      <w:outlineLvl w:val="1"/>
    </w:pPr>
    <w:rPr>
      <w:rFonts w:eastAsiaTheme="majorEastAsia" w:cstheme="majorBidi"/>
      <w:color w:val="005EB8"/>
      <w:sz w:val="26"/>
      <w:szCs w:val="26"/>
    </w:rPr>
  </w:style>
  <w:style w:type="paragraph" w:styleId="Heading3">
    <w:name w:val="heading 3"/>
    <w:basedOn w:val="Normal"/>
    <w:next w:val="Normal"/>
    <w:link w:val="Heading3Char"/>
    <w:uiPriority w:val="9"/>
    <w:unhideWhenUsed/>
    <w:qFormat/>
    <w:rsid w:val="00C221B1"/>
    <w:pPr>
      <w:keepNext/>
      <w:keepLines/>
      <w:spacing w:before="40" w:after="0"/>
      <w:outlineLvl w:val="2"/>
    </w:pPr>
    <w:rPr>
      <w:rFonts w:eastAsiaTheme="majorEastAsia" w:cstheme="majorBidi"/>
      <w:b/>
      <w:color w:val="005EB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221B1"/>
    <w:pPr>
      <w:spacing w:after="0" w:line="240" w:lineRule="auto"/>
      <w:contextualSpacing/>
    </w:pPr>
    <w:rPr>
      <w:rFonts w:eastAsiaTheme="majorEastAsia" w:cstheme="majorBidi"/>
      <w:color w:val="005EB8"/>
      <w:spacing w:val="-10"/>
      <w:kern w:val="28"/>
      <w:sz w:val="56"/>
      <w:szCs w:val="56"/>
    </w:rPr>
  </w:style>
  <w:style w:type="character" w:customStyle="1" w:styleId="TitleChar">
    <w:name w:val="Title Char"/>
    <w:basedOn w:val="DefaultParagraphFont"/>
    <w:link w:val="Title"/>
    <w:uiPriority w:val="10"/>
    <w:rsid w:val="00C221B1"/>
    <w:rPr>
      <w:rFonts w:ascii="Arial" w:eastAsiaTheme="majorEastAsia" w:hAnsi="Arial" w:cstheme="majorBidi"/>
      <w:color w:val="005EB8"/>
      <w:spacing w:val="-10"/>
      <w:kern w:val="28"/>
      <w:sz w:val="56"/>
      <w:szCs w:val="56"/>
    </w:rPr>
  </w:style>
  <w:style w:type="character" w:customStyle="1" w:styleId="Heading1Char">
    <w:name w:val="Heading 1 Char"/>
    <w:basedOn w:val="DefaultParagraphFont"/>
    <w:link w:val="Heading1"/>
    <w:uiPriority w:val="9"/>
    <w:rsid w:val="00C221B1"/>
    <w:rPr>
      <w:rFonts w:ascii="Arial" w:eastAsiaTheme="majorEastAsia" w:hAnsi="Arial" w:cstheme="majorBidi"/>
      <w:color w:val="005EB8"/>
      <w:sz w:val="32"/>
      <w:szCs w:val="32"/>
    </w:rPr>
  </w:style>
  <w:style w:type="character" w:customStyle="1" w:styleId="Heading2Char">
    <w:name w:val="Heading 2 Char"/>
    <w:basedOn w:val="DefaultParagraphFont"/>
    <w:link w:val="Heading2"/>
    <w:uiPriority w:val="9"/>
    <w:rsid w:val="00C221B1"/>
    <w:rPr>
      <w:rFonts w:ascii="Arial" w:eastAsiaTheme="majorEastAsia" w:hAnsi="Arial" w:cstheme="majorBidi"/>
      <w:color w:val="005EB8"/>
      <w:sz w:val="26"/>
      <w:szCs w:val="26"/>
    </w:rPr>
  </w:style>
  <w:style w:type="character" w:customStyle="1" w:styleId="Heading3Char">
    <w:name w:val="Heading 3 Char"/>
    <w:basedOn w:val="DefaultParagraphFont"/>
    <w:link w:val="Heading3"/>
    <w:uiPriority w:val="9"/>
    <w:rsid w:val="00C221B1"/>
    <w:rPr>
      <w:rFonts w:ascii="Arial" w:eastAsiaTheme="majorEastAsia" w:hAnsi="Arial" w:cstheme="majorBidi"/>
      <w:b/>
      <w:color w:val="005EB8"/>
      <w:sz w:val="24"/>
      <w:szCs w:val="24"/>
    </w:rPr>
  </w:style>
  <w:style w:type="paragraph" w:styleId="ListParagraph">
    <w:name w:val="List Paragraph"/>
    <w:aliases w:val="F5 List Paragraph,List Paragraph1,Dot pt,No Spacing1,List Paragraph Char Char Char,Indicator Text,Colorful List - Accent 11,Numbered Para 1,Bullet 1,Bullet Points,MAIN CONTENT,List Paragraph12,Bullet Style,List Paragraph2,Normal numbered"/>
    <w:basedOn w:val="Normal"/>
    <w:link w:val="ListParagraphChar"/>
    <w:uiPriority w:val="34"/>
    <w:qFormat/>
    <w:rsid w:val="00BF10E9"/>
    <w:pPr>
      <w:ind w:left="720"/>
      <w:contextualSpacing/>
    </w:pPr>
  </w:style>
  <w:style w:type="paragraph" w:styleId="Header">
    <w:name w:val="header"/>
    <w:basedOn w:val="Normal"/>
    <w:link w:val="HeaderChar"/>
    <w:uiPriority w:val="99"/>
    <w:unhideWhenUsed/>
    <w:rsid w:val="00BF10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0E9"/>
    <w:rPr>
      <w:rFonts w:ascii="Arial" w:hAnsi="Arial"/>
    </w:rPr>
  </w:style>
  <w:style w:type="paragraph" w:styleId="Footer">
    <w:name w:val="footer"/>
    <w:basedOn w:val="Normal"/>
    <w:link w:val="FooterChar"/>
    <w:uiPriority w:val="99"/>
    <w:unhideWhenUsed/>
    <w:rsid w:val="00BF10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10E9"/>
    <w:rPr>
      <w:rFonts w:ascii="Arial" w:hAnsi="Arial"/>
    </w:rPr>
  </w:style>
  <w:style w:type="table" w:styleId="TableGrid">
    <w:name w:val="Table Grid"/>
    <w:basedOn w:val="TableNormal"/>
    <w:uiPriority w:val="39"/>
    <w:rsid w:val="009F7679"/>
    <w:pPr>
      <w:spacing w:after="0" w:line="240" w:lineRule="auto"/>
    </w:pPr>
    <w:rPr>
      <w:rFonts w:ascii="FS Meridian" w:hAnsi="FS Meridian" w:cs="Times New Roman (Body CS)"/>
      <w:spacing w:val="-10"/>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rsid w:val="000A027E"/>
    <w:rPr>
      <w:rFonts w:ascii="Arial" w:hAnsi="Arial"/>
    </w:rPr>
  </w:style>
  <w:style w:type="character" w:styleId="Hyperlink">
    <w:name w:val="Hyperlink"/>
    <w:basedOn w:val="DefaultParagraphFont"/>
    <w:uiPriority w:val="99"/>
    <w:unhideWhenUsed/>
    <w:rsid w:val="009431AF"/>
    <w:rPr>
      <w:color w:val="0563C1" w:themeColor="hyperlink"/>
      <w:u w:val="single"/>
    </w:rPr>
  </w:style>
  <w:style w:type="character" w:styleId="UnresolvedMention">
    <w:name w:val="Unresolved Mention"/>
    <w:basedOn w:val="DefaultParagraphFont"/>
    <w:uiPriority w:val="99"/>
    <w:semiHidden/>
    <w:unhideWhenUsed/>
    <w:rsid w:val="009431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819411">
      <w:bodyDiv w:val="1"/>
      <w:marLeft w:val="0"/>
      <w:marRight w:val="0"/>
      <w:marTop w:val="0"/>
      <w:marBottom w:val="0"/>
      <w:divBdr>
        <w:top w:val="none" w:sz="0" w:space="0" w:color="auto"/>
        <w:left w:val="none" w:sz="0" w:space="0" w:color="auto"/>
        <w:bottom w:val="none" w:sz="0" w:space="0" w:color="auto"/>
        <w:right w:val="none" w:sz="0" w:space="0" w:color="auto"/>
      </w:divBdr>
    </w:div>
    <w:div w:id="1500730630">
      <w:bodyDiv w:val="1"/>
      <w:marLeft w:val="0"/>
      <w:marRight w:val="0"/>
      <w:marTop w:val="0"/>
      <w:marBottom w:val="0"/>
      <w:divBdr>
        <w:top w:val="none" w:sz="0" w:space="0" w:color="auto"/>
        <w:left w:val="none" w:sz="0" w:space="0" w:color="auto"/>
        <w:bottom w:val="none" w:sz="0" w:space="0" w:color="auto"/>
        <w:right w:val="none" w:sz="0" w:space="0" w:color="auto"/>
      </w:divBdr>
      <w:divsChild>
        <w:div w:id="633869839">
          <w:marLeft w:val="0"/>
          <w:marRight w:val="0"/>
          <w:marTop w:val="0"/>
          <w:marBottom w:val="0"/>
          <w:divBdr>
            <w:top w:val="none" w:sz="0" w:space="0" w:color="auto"/>
            <w:left w:val="none" w:sz="0" w:space="0" w:color="auto"/>
            <w:bottom w:val="none" w:sz="0" w:space="0" w:color="auto"/>
            <w:right w:val="none" w:sz="0" w:space="0" w:color="auto"/>
          </w:divBdr>
        </w:div>
      </w:divsChild>
    </w:div>
    <w:div w:id="1714697807">
      <w:bodyDiv w:val="1"/>
      <w:marLeft w:val="0"/>
      <w:marRight w:val="0"/>
      <w:marTop w:val="0"/>
      <w:marBottom w:val="0"/>
      <w:divBdr>
        <w:top w:val="none" w:sz="0" w:space="0" w:color="auto"/>
        <w:left w:val="none" w:sz="0" w:space="0" w:color="auto"/>
        <w:bottom w:val="none" w:sz="0" w:space="0" w:color="auto"/>
        <w:right w:val="none" w:sz="0" w:space="0" w:color="auto"/>
      </w:divBdr>
    </w:div>
    <w:div w:id="1971788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isa.galligan-dawson@nhs.net" TargetMode="Externa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2" Type="http://schemas.openxmlformats.org/officeDocument/2006/relationships/image" Target="media/image12.emf"/><Relationship Id="rId1" Type="http://schemas.openxmlformats.org/officeDocument/2006/relationships/image" Target="media/image11.emf"/></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christie\dfsroot$\homedrives1\Lisa.Galligandawson\Cancer%20Board\FDS,%20OP%20&amp;%20TV%20Ja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FDS, OP &amp; TV Jan 24</Template>
  <TotalTime>300</TotalTime>
  <Pages>12</Pages>
  <Words>1140</Words>
  <Characters>6500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Galligandawson Lisa (RBV) NHS Christie Tr</dc:creator>
  <cp:keywords/>
  <dc:description/>
  <cp:lastModifiedBy>Galligandawson Lisa (RBV) NHS Christie Tr</cp:lastModifiedBy>
  <cp:revision>4</cp:revision>
  <dcterms:created xsi:type="dcterms:W3CDTF">2025-05-16T04:51:00Z</dcterms:created>
  <dcterms:modified xsi:type="dcterms:W3CDTF">2025-05-16T09:51:00Z</dcterms:modified>
</cp:coreProperties>
</file>